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1B_571/2019 vom 19. Dezember 2019</w:t>
      </w:r>
    </w:p>
    <w:p>
      <w:r>
        <w:t>Bundesgericht, 2019-12-19, FR</w:t>
      </w:r>
    </w:p>
    <w:p>
      <w:r>
        <w:rPr>
          <w:b/>
        </w:rPr>
        <w:t xml:space="preserve">Quelle: </w:t>
      </w:r>
      <w:r>
        <w:t>https://mcp.opencaselaw.ch/entscheid/bger_1B_571_2019</w:t>
      </w:r>
    </w:p>
    <w:p>
      <w:r>
        <w:t>FR: TF 1B_571/2019 du 19 décembre 2019</w:t>
      </w:r>
    </w:p>
    <w:p>
      <w:r>
        <w:t>IT: TF 1B_571/2019 del 19 dicembre 2019</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 p. 318).</w:t>
      </w:r>
    </w:p>
    <w:p>
      <w:r>
        <w:rPr>
          <w:b/>
        </w:rPr>
        <w:t>E. 3</w:t>
      </w:r>
    </w:p>
    <w:p>
      <w:r>
        <w:t>Le recourant ne nie pas l'existence de charges suffisantes à son encontre. Il conteste en revanche tous risques de collusion, de réitération et de passage à l'acte. Il se plaint aussi à cet égard d'un déni de justice formel, au motif que l'instance précédente ne se serait pas prononcée sur le risque de réitération ( art. 29 al. 2 Cst. ).</w:t>
      </w:r>
    </w:p>
    <w:p>
      <w:r>
        <w:t>Si de tels risques devaient toutefois être retenus, il requiert la mise en oeuvre de mesures de substitution au sens de l' art. 237 CPP .</w:t>
      </w:r>
    </w:p>
    <w:p>
      <w:r>
        <w:rPr>
          <w:b/>
        </w:rPr>
        <w:t>E. 3.1</w:t>
      </w:r>
    </w:p>
    <w:p>
      <w:r>
        <w:t>En vertu de l' art. 221 al. 1 let .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Le risque de récidive peut également se fonder sur les infractions faisant l'objet de la procédure pénale en cours, si le prévenu est fortement soupçonné - avec une probabilité confinant à la certitude - de les avoir commises ( ATF 143 IV 9 consid. 2.3.1 p. 12).</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t>Enfin, l' art. 221 al. 2 CPP permet d'ordonner la détention lorsqu'il y a lieu de craindre un passage à l'acte, même en l'absence de toute infraction préalable. Il doit s'agir d'un crime grave et non seulement d'un délit (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s.; 137 IV 122 consid. 5 p. 129 et les réf. cit.). Plus l'infraction redoutée est grave, plus la mise en détention se justifie lorsque les éléments disponibles ne permettent pas une évaluation précise de ce risque ( ATF 140 IV 19 consid. 2.1.1 p. 22)</w:t>
      </w:r>
    </w:p>
    <w:p>
      <w:r>
        <w:rPr>
          <w:b/>
        </w:rPr>
        <w:t>E. 3.2</w:t>
      </w:r>
    </w:p>
    <w:p>
      <w:r>
        <w:t>En l'occurrence, la cour cantonale a considéré que, même si le recourant ne s'en était jamais pris physiquement à ses enfants, une procédure avait été ouverte en 2016 contre lui pour violences conjugales, l'enquête ayant été classée en raison de l'absence de volonté de son épouse de reprendre la procédure après une suspension, et non parce que les faits qui lui étaient alors reprochés n'étaient pas établis. S'ajoutait à cela que les actes présentement en cause, dont la réalité était partiellement établie par témoin, étaient très graves, puisque le recourant aurait menacé de s'en prendre au bien juridique le plus précieux; les menaces de tuer les siens, proférées à plusieurs reprises, notamment un couteau à la main, permettaient à l'évidence de retenir à tout le moins un risque concret de passage à l'acte, même en l'absence de condamnation antérieure pour des faits de même nature. Le Tribunal cantonal a encore précisé que les conclusions orales du rapport d'expertise psychiatrique, qui devait bientôt être rendu, faisaient état d'un risque de récidive qualifié de moyen. Il a indiqué que cette appréciation pourrait être revue lorsque le rapport d'expertise aura été déposé.</w:t>
      </w:r>
    </w:p>
    <w:p>
      <w:r>
        <w:t>Cette motivation permet de comprendre pourquoi le risque de réitération et de passage à l'acte a été retenu. Ces motifs n'ont d'ailleurs pas échappé au recourant, qui a précisément attaqué l'arrêt sur ce point en toute connaissance de cause. Cela est suffisant, sous l'angle du droit d'être entendu ( art. 29 al. 2 Cst. ). Le grief de déni de justice formel doit donc être écarté.</w:t>
      </w:r>
    </w:p>
    <w:p>
      <w:r>
        <w:rPr>
          <w:b/>
        </w:rPr>
        <w:t>E. 3.3</w:t>
      </w:r>
    </w:p>
    <w:p>
      <w:r>
        <w:t>Sur le fond, les éléments avancés par la cour cantonale apparaissent suffisants pour retenir un risque concret de récidive et de passage à l'acte. L'arrêt attaqué ne prête pas le flanc à la critique sur ce point. Le recourant ne développe d'ailleurs aucune argumentation propre à le remettre en cause.</w:t>
      </w:r>
    </w:p>
    <w:p>
      <w:r>
        <w:t>En particulier, le fait que le casier judiciaire du recourant ne comporte qu'une seule inscription pour des faits d'une toute autre nature que ceux qui lui sont reprochés dans le cadre de la présente procédure ne suffit pas à rendre inexistant le risque récidive. L'intéressé rappelle aussi qu'en 2016, il n'a pas été condamné et fait valoir la présomption d'innocence. Cette simple affirmation est toutefois insuffisante à faire admettre l'invraisemblance du risque de récidive et de passage à l'acte, ce d'autant plus que l'infraction redoutée est grave.</w:t>
      </w:r>
    </w:p>
    <w:p>
      <w:r>
        <w:t>Ainsi, sur la base des conclusions orales du rapport d'expertise psychiatrique (en attente du rapport écrit) ainsi que du fait qu'en 2016 le recourant avait déjà fait l'objet d'une enquête pénale à la suite de violences domestiques, la cour cantonale pouvait, sans violer l' art. 221 al. 1 let . c et al. 2 CPP, admettre un risque de récidive et de passage à l'acte justifiant le maintien en détention. Comme le relève la cour cantonale, il y aura toutefois lieu de procéder à une nouvelle évaluation du risque sur le vu des conclusions de l'expert psychiatre.</w:t>
      </w:r>
    </w:p>
    <w:p>
      <w:r>
        <w:rPr>
          <w:b/>
        </w:rPr>
        <w:t>E. 3.4</w:t>
      </w:r>
    </w:p>
    <w:p>
      <w:r>
        <w:t>Le maintien de la détention du recourant étant justifié par un risque de récidive, il n'y a pas lieu d'examiner si cette mesure s'impose aussi en raison d'un risque de collusion au sens de l' art. 221 al. 1 let. b CPP .</w:t>
      </w:r>
    </w:p>
    <w:p>
      <w:r>
        <w:rPr>
          <w:b/>
        </w:rPr>
        <w:t>E. 3.5</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l'obligation de se soumettre à un traitement médical (let. f) et l'interdiction d'entretenir des relations avec certaines personnes (let. g).</w:t>
      </w:r>
    </w:p>
    <w:p>
      <w:r>
        <w:t>En l'espèce, le recourant propose uniquement d'entamer une thérapie familiale avec son épouse et ses enfants au Centre de prévention de l'Ale. Le Tribunal cantonal a considéré à cet égard qu'il ne pouvait prononcer une mesure de substitution avant que le rapport d'expertise psychiatrique ne soit rendu, dès lors que l'on ignorait si le recourant souffrait d'un trouble mental et quel était le degré du risque de réitération évalué par les experts.</w:t>
      </w:r>
    </w:p>
    <w:p>
      <w:r>
        <w:t>En l'état, la mesure de substitution proposée paraît insuffisante au regard de l'intensité du risque de récidive. La question de la mise en place de mesures de substitution pourra cependant être réexaminée après le dépôt de l'expertise psychiatrique, en fonction des conclusions de celle-ci.</w:t>
      </w:r>
    </w:p>
    <w:p>
      <w:r>
        <w:t>Au demeurant, une mesure de thérapie familiale ne saurait être imposée par le juge sans avoir été proposée, du moins évaluée, par l'expert. En outre, elle ne saurait être imposée aux autres membres de la famille du prévenu, sans que ceux-ci aient été entendus à ce propos et aient donné leur accord exprès à leur participation.</w:t>
      </w:r>
    </w:p>
    <w:p>
      <w:r>
        <w:rPr>
          <w:b/>
        </w:rPr>
        <w:t>E. 4</w:t>
      </w:r>
    </w:p>
    <w:p>
      <w:r>
        <w:t>Le recourant se plaint enfin d'une violation du principe de proportionnalité eu égard à la détention avant jugement subie et à la peine encourue.</w:t>
      </w:r>
    </w:p>
    <w:p>
      <w:r>
        <w:rPr>
          <w:b/>
        </w:rPr>
        <w:t>E. 4.1</w:t>
      </w:r>
    </w:p>
    <w:p>
      <w:r>
        <w:t>En vertu des art. 31 al. 3 Cst. et 5 par. 3 CEDH, toute personne qui est mise en détention préventive a le droit d'être jugée dans un délai raisonnable ou d'être libérée pendant la procédure pénale. L' art. 212 al. 3 CPP prévoit que la détention provisoire et la détention pour des motifs de sûreté ne doivent pas durer plus longtemps que la peine privative de liberté prévisible.</w:t>
      </w:r>
    </w:p>
    <w:p>
      <w:r>
        <w:t>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l'éventuel octroi, par l'autorité de jugement, d'un sursis, d'un sursis partiel ou d'une libération conditionnelle au sens de l' art. 86 al. 1 CP ( ATF 143 IV 168 consid. 5.1 p. 173); pour entrer en considération sur cette dernière hypothèse, son octroi doit être d'emblée évident (arrêt 1B_82/2013 du 27 mars 2013 consid. 3.2 in Pra 2013 74 543; sur l'éventuelle application de l' art. 86 CP dans des cas de détention provisoire ou pour des motifs de sûreté, cf. arrêt 1B_363/2015 du 30 octobre 2015 consid. 2.4 et 2.5).</w:t>
      </w:r>
    </w:p>
    <w:p>
      <w:r>
        <w:rPr>
          <w:b/>
        </w:rPr>
        <w:t>E. 4.2</w:t>
      </w:r>
    </w:p>
    <w:p>
      <w:r>
        <w:t>En l'espèce, la durée de la détention était d'un peu plus de sept mois au moment de l'arrêt attaqué. Au terme de la durée de la prolongation ordonnée par le Tmc, le recourant aura été incarcéré 10 mois. Le recourant soutient qu'une infraction de menace qualifiée ne saurait donner lieu à une peine privative de liberté ferme et que même dans l'hypothèse où une telle peine serait prononcée, elle ne dépasserait pas six mois.</w:t>
      </w:r>
    </w:p>
    <w:p>
      <w:r>
        <w:t>En tant qu'il se prévaut à cet égard de peines effectivement prononcées s'agissant d'affaires prétendument similaires, en référence à des arrêts rendus par le Tribunal fédéral et par le Tribunal cantonal vaudois, il sied d'emblée de relever que toute comparaison d'une peine avec celles prononcées dans d'autres affaires s'avère délicate et hasardeuse compte tenu des nombreux paramètres entrant en ligne de compte (cf. ATF 141 IV 61 consid. 6.3.2 p. 69; arrêt 1B_250/2019 du 14 juin 2019 consid. 5.2.2).</w:t>
      </w:r>
    </w:p>
    <w:p>
      <w:r>
        <w:t>Si le recourant est reconnu coupable de menaces qualifiées, la peine privative de liberté encourue est de trois ans au plus ( art. 180 al. 1 CP ). Il y a donc lieu de considérer que la durée de la détention préventive déjà subie est encore compatible avec la peine privative de liberté à laquelle le recourant est exposé concrètement en cas de condamnation. Le Tribunal cantonal a ainsi correctement nié une violation du principe de la proportionnalité, étant rappelé qu'il n'y a pas lieu de tenir compte de l'éventualité de l'octroi d'un sursis. Par ailleurs, la détention ne se prolongera vraisemblablement pas au-delà de la durée admissible, dans la mesure où le Ministère public a rendu son acte d'accusation le 14 novembre 2019. Cela étant, afin d'échapper à toute critique, il appartiendra aux autorités compétentes de faire preuve de diligence pour fixer l'audience de jugement.</w:t>
      </w:r>
    </w:p>
    <w:p>
      <w:r>
        <w:rPr>
          <w:b/>
        </w:rPr>
        <w:t>E. 5</w:t>
      </w:r>
    </w:p>
    <w:p>
      <w:r>
        <w:t>Il s'ensuit que le recours est rejeté.</w:t>
      </w:r>
    </w:p>
    <w:p>
      <w:r>
        <w:t>Le recourant a demandé l'octroi de l'assistance judiciaire ( art. 64 al. 1 LTF ). Comme le recourant est dans le besoin et que le recours n'était pas d'emblée dénué de chances de succès, cette requête doit être admise. Il y a lieu de désigner Me Basile Casoni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