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1B_570/2018 vom 28. Dezember 2018</w:t>
      </w:r>
    </w:p>
    <w:p>
      <w:r>
        <w:t>Bundesgericht, 2018-12-28, DE</w:t>
      </w:r>
    </w:p>
    <w:p>
      <w:r>
        <w:rPr>
          <w:b/>
        </w:rPr>
        <w:t xml:space="preserve">Quelle: </w:t>
      </w:r>
      <w:r>
        <w:t>https://mcp.opencaselaw.ch/entscheid/bger_1B_570_2018</w:t>
      </w:r>
    </w:p>
    <w:p>
      <w:r>
        <w:t>FR: TF 1B_570/2018 du 28 décembre 2018</w:t>
      </w:r>
    </w:p>
    <w:p>
      <w:r>
        <w:t>IT: TF 1B_570/2018 del 28 dicembre 2018</w:t>
      </w:r>
    </w:p>
    <w:p>
      <w:pPr>
        <w:pStyle w:val="Heading2"/>
      </w:pPr>
      <w:r>
        <w:t>Erwägungen</w:t>
      </w:r>
    </w:p>
    <w:p>
      <w:r>
        <w:rPr>
          <w:b/>
        </w:rPr>
        <w:t>E. 1</w:t>
      </w:r>
    </w:p>
    <w:p>
      <w:r>
        <w:t>Mit Entscheid vom 7. Dezember 2018 entsiegelte das Zwangsmassnahmengericht des Kantons St. Gallen die im Strafverfahren gegen A.________ auf dessen Gesuch hin versiegelten Gegenstände.</w:t>
      </w:r>
    </w:p>
    <w:p>
      <w:r>
        <w:t>Mit Beschwerde vom 20. Dezember 2018 verlangt A.________ sinngemäss, diesen Entscheid aufzuheben und die Entsiegelung zu verweigern. Vernehmlassungen wurden keine eingeholt.</w:t>
      </w:r>
    </w:p>
    <w:p>
      <w:r>
        <w:rPr>
          <w:b/>
        </w:rPr>
        <w:t>E. 2</w:t>
      </w:r>
    </w:p>
    <w:p>
      <w:r>
        <w:t>Angefochten ist ein kantonal letztinstanzlicher Entscheid in einer Strafsache. Dagegen steht die Beschwerde nach Art. 78 ff. BGG offen. Er schliesst das Strafverfahren gegen den Beschwerdeführer indessen nicht ab, es handelt sich um einen Zwischenentscheid im Sinn von Art. 93 Abs. 1 BGG . Gegen einen solchen ist die Beschwerde u.a. zulässig, wenn er einen nicht wiedergutzumachenden Nachteil rechtlicher Natur ( BGE 133 IV 139 E. 4) bewirken kann (lit. a).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Entsiegelungsentscheide können, je nach den geltend gemachten Gründen, die einer Entsiegelung entgegenstehen sollen, einen nicht wiedergutzumachenden Nachteil bewirken oder auch nicht (vgl. Urteile 1B_14/2017 vom 27. März 2017 E. 1.2; 1B_351/2016 vom 16. November 2016 E. 1.3 und 1.4; 1B_273/2015 vom 21. Januar 2016 E. 1.3; vgl. auch BGE 141 IV 289 E. 1.2 f. S. 291 f.). Der Beschwerdeführer legt weder dar, inwiefern ihm durch den angefochtenen Entscheid ein nicht wieder gutzumachender Nachteil droht, noch inwiefern er Bundesrecht verletzt, und das ist auch nicht offensichtlich. Seine Befürchtung, mit der Entsiegelung habe jedermann Zugriff auf sein persönliches E-Mail-Konto und könnte dieses missbrauchen, ist unbegründet, weil die entsiegelten Gegenstände bis zum Abschluss des Verfahrens in den Händen der Staatsanwaltschaft bleiben und ausschliesslich für die Zwecke der Strafuntersuchung genutzt werden dürfen. Auf die Beschwerde ist wegen Verletzung der gesetzlichen Begründungspflicht nicht einzutreten, und zwar, weil der Mangel offenkundig ist, im vereinfachten Verfahren. Auf die Erhebung von Kosten kann ausnahmsweise verzichtet werden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