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56/2016 vom 7. März 2016</w:t>
      </w:r>
    </w:p>
    <w:p>
      <w:r>
        <w:t>Bundesgericht, 2016-03-07, FR</w:t>
      </w:r>
    </w:p>
    <w:p>
      <w:r>
        <w:rPr>
          <w:b/>
        </w:rPr>
        <w:t xml:space="preserve">Quelle: </w:t>
      </w:r>
      <w:r>
        <w:t>https://mcp.opencaselaw.ch/entscheid/bger_1B_56_2016</w:t>
      </w:r>
    </w:p>
    <w:p>
      <w:r>
        <w:t>FR: TF 1B 56/2016 du 7 mars 2016</w:t>
      </w:r>
    </w:p>
    <w:p>
      <w:r>
        <w:t>IT: TF 1B 56/2016 del 7 marzo 2016</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80 LTF ). Si le recourant - antérieurement à son recours fédéral - a déposé une demande de liberté devant le Tmc, sa qualité pour recourir doit tout de même être admise, dès lors qu'il garde un intérêt au contrôle des conditions ayant permis son placement en détention (art. 81 al. 1 let. a et b ch. 1 LTF). Les conclusions prises sont recevables et il y a donc lieu d'entrer en matière.</w:t>
      </w:r>
    </w:p>
    <w:p>
      <w:r>
        <w:rPr>
          <w:b/>
        </w:rPr>
        <w:t>E. 1.2</w:t>
      </w:r>
    </w:p>
    <w:p>
      <w:r>
        <w:t>Les pièces produites par le recourant, respectivement par le Ministère public, qui sont ultérieures au prononcé attaqué, sont irrecevables ( art. 99 al. 1 LTF ).</w:t>
      </w:r>
    </w:p>
    <w:p>
      <w:r>
        <w:rPr>
          <w:b/>
        </w:rPr>
        <w:t>E. 2</w:t>
      </w:r>
    </w:p>
    <w:p>
      <w:r>
        <w:t>Devant le Tribunal fédéral, le recourant ne remet en cause ni les risques retenus (fuite, collusion et réitération), ni la proportionnalité de la durée de la détention provisoire subie. Il ne soutient pas non plus que des mesures de substitution permettraient de pallier les trois dangers susmentionnés. Il conteste en revanche l'existence de soupçons suffisants de la commission d'une infraction. Il soutient à cet égard qu'une telle constatation ne reposerait que sur l'audition du 3 janvier 2016 dont le procès-verbal serait pourtant entaché d'un vice - absence de signature du policier greffier - qui le rendrait inexploitable.</w:t>
      </w:r>
    </w:p>
    <w:p>
      <w:r>
        <w:rPr>
          <w:b/>
        </w:rPr>
        <w:t>E. 2.1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 Le Tribunal fédéral a déjà eu l'occasion de relever qu'il appartient en principe à l'autorité de jugement et non au juge de la détention de déterminer si un moyen de preuve est illicite (arrêts 1B_696/2012 du 11 décembre 2012 consid. 4.1; 1B_42/2012 du 14 février 2012 consid. 3.2 in fine). Lorsqu'il apprécie le caractère suffisant des charges au sens de l' art. 221 al. 1 CPP , le juge de la détention doit en effet uniquement examiner s'il existe des indices sérieux de culpabilité sur la base des résultats provisoires de l'instruction ( ATF 137 IV 122 consid. 3.2 p. 126 s.; 116 Ia 143 consid. 3c p. 146; 1B_696/2012 du 11 décembre 2012 consid. 4.1). Le juge de la détention peut ainsi tenir compte des moyens de preuve figurant au dossier, à moins que ceux-ci n'apparaissent d'emblée inexploitables (arrêts 1B_696/2012 du 11 décembre 2012 consid. 4.1; 1B_501/2012 du 10 octobre 2012 consid. 4.2 et les arrêts cités).</w:t>
      </w:r>
    </w:p>
    <w:p>
      <w:r>
        <w:rPr>
          <w:b/>
        </w:rPr>
        <w:t>E. 2.2</w:t>
      </w:r>
    </w:p>
    <w:p>
      <w:r>
        <w:t>La cour cantonale a retenu que l'absence de signature du policier agissant comme greffier sur le procès-verbal de l'audition du 3 janvier 2016 ne permettait pas de considérer ce document comme d'emblée inexploitable; il pourrait ainsi s'agir soit d'une violation d'une prescription d'ordre ( art. 141 al. 3 CPP ), soit d'un cas d'application de l'art. 141 al. 2 in fine CPP vu le "cas de brigandage qualifié" examiné. Sur la base du contenu de ce procès-verbal, la juridiction précédente a donc relevé que le recourant avait été mis en cause de manière crédible pour le cambriolage du 30 décembre 2015. Selon les juges cantonaux, il n'avait en outre pas été établi à quelle heure le recourant était arrivé au Sleep-in ce soir-là, les personnes connues de cette institution pouvant y être acceptées après 20h00. L'autorité précédente a encore relevé l'enquête ouverte le 12 décembre 2015 contre le recourant pour actes préparatoires à brigandage.</w:t>
      </w:r>
    </w:p>
    <w:p>
      <w:r>
        <w:rPr>
          <w:b/>
        </w:rPr>
        <w:t>E. 2.3</w:t>
      </w:r>
    </w:p>
    <w:p>
      <w:r>
        <w:t>Ce raisonnement ne prête pas le flanc à la critique. Il est tout d'abord relevé que, contrairement à ce que soutient le recourant, les soupçons à son encontre ne reposent pas uniquement sur les déclarations recueillies le 3 janvier 2016, mais également sur les renseignements pris au Sleep-in, ainsi que sur l'existence d'une autre enquête en cours à son encontre. Quant au procès-verbal de l'audition du 3 janvier 2016, le recourant ne prétend pas que l'absence de signature du policier greffier constituerait un cas d'inexploitabilité au sens des art. 140 et 141 al. 1 CPP . Dès lors, c'est à juste titre que l'autorité précédente a retenu que, dans la mesure où le procès-verbal en cause devrait être considéré comme un moyen de preuve illicite, les conséquences y relatives seraient examinées en application de (a) l'art. 141 al. 2 in fine CPP en lien avec l' art. 140 ch. 2 CP ou (b) l' art. 141 al. 3 CPP . Or, ces deux dispositions n'excluent pas toute exploitation d'un moyen de preuve illicite; ainsi, la première autorise l'utilisation de tels moyens lorsqu'ils permettent d'élucider des infractions graves et la seconde prévoit l'exploitabilité des preuves administrées en violation de prescriptions d'ordre. A ce stade de la procédure, la juridiction précédente pouvait donc considérer, sans violer le droit fédéral, que le procès-verbal litigieux était utilisable. Vu les conséquences similaires pouvant résulter de l'application des deux articles susmentionnés, elle n'avait pas non plus à indiquer de manière plus précise les raisons permettant d'appliquer l'une ou l'autre de ces dispositions, n'ayant ainsi pas violé son obligation de motivation ( ATF 138 I 232 consid. 5.1 p. 27). Le fait de contester la teneur des propos rapportés ne suffit en outre pas à exclure toute crédibilité à ceux-ci et, par conséquent, la Chambre des recours pénale - en tant que juge de la détention - pouvait en tenir compte dans son appréciation des charges suffisantes. Invoquant l'art. 5 § 1 let . c CEDH, le recourant reproche encore à l'autorité précédente de n'avoir pas tenu compte de l'audition du 22 janvier 2016 durant laquelle B.________ a relevé avoir discuté avec les policiers; cela démontrerait en substance son absence de crédibilité. Certes, l'autorité de recours peut, respectivement doit, tenir compte des faits nouveaux (arrêts 1B_49/2016 du 25 février 2016 consid. 2; 1B_422/2014 du 20 janvier 2015 consid. 3.1; 1B_768/2012 du 15 janvier 2013 consid. 2.1). Cela étant, le contenu dudit procès-verbal ne permet pas d'avoir une appréciation différente quant à l'existence des soupçons suffisants et/ou sur la crédibilité de la personne mettant en cause le recourant. En effet, celle-ci y a confirmé ses précédentes déclarations et n'a pas caché avoir eu une discussion avec les policiers, ni le sujet de celle-ci. Ainsi, cette conversation concernait avant tout la contradiction existant entre les déclarations faites par B.________ quant aux propos allégués tenus par le recourant à son interlocuteur (ne pas se faire voir dans les trains) et la situation dans laquelle celui-ci se trouvait alors (dans un train sous surveillance vidéo). Cette possible incohérence - relevée d'ailleurs par la susmentionnée elle-même avant toute discussion avec les policiers (cf. l. 84 dudit procès-verbal) - ne permet cependant pas de retenir en l'état que l'ensemble des propos rapportés serait d'emblée erroné. En tout état de cause, il peut encore être précisé que la mention de l'oubli d'inscrire dans le "Procès-verbal des opérations" l'audition du 4 janvier 2016 ne permet pas de considérer que les documents y relatifs ne figureraient pas au dossier; le recourant ne prétend au demeurant pas que le Tmc, respectivement l'autorité de recours, n'auraient pas eu accès au procès-verbal de cette séance.</w:t>
      </w:r>
    </w:p>
    <w:p>
      <w:r>
        <w:rPr>
          <w:b/>
        </w:rPr>
        <w:t>E. 2.4</w:t>
      </w:r>
    </w:p>
    <w:p>
      <w:r>
        <w:t>Partant, la Chambre des recours pénale n'a pas violé le droit fédéral en considérant qu'à ce stade, il existait des soupçons suffisants que le recourant ait participé au brigandage litigieux et ce grief doit être écarté.</w:t>
      </w:r>
    </w:p>
    <w:p>
      <w:r>
        <w:rPr>
          <w:b/>
        </w:rPr>
        <w:t>E. 3</w:t>
      </w:r>
    </w:p>
    <w:p>
      <w:r>
        <w:t>Il s'ensuit que le recours est rejeté. Le recourant a demandé l'assistance judiciaire et les conditions en paraissent réunies ( art. 64 al. 1 LTF ). Il y a lieu de désigner Me Frank Tièche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