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1B_56/2013 vom 28. Mai 2013</w:t>
      </w:r>
    </w:p>
    <w:p>
      <w:r>
        <w:t>Bundesgericht, 2013-05-28, DE</w:t>
      </w:r>
    </w:p>
    <w:p>
      <w:r>
        <w:rPr>
          <w:b/>
        </w:rPr>
        <w:t xml:space="preserve">Quelle: </w:t>
      </w:r>
      <w:r>
        <w:t>https://mcp.opencaselaw.ch/entscheid/bger_1B_56_2013</w:t>
      </w:r>
    </w:p>
    <w:p>
      <w:r>
        <w:t>FR: TF 1B_56/2013 du 28 mai 2013</w:t>
      </w:r>
    </w:p>
    <w:p>
      <w:r>
        <w:t>IT: TF 1B_56/2013 del 28 maggio 2013</w:t>
      </w:r>
    </w:p>
    <w:p>
      <w:pPr>
        <w:pStyle w:val="Heading2"/>
      </w:pPr>
      <w:r>
        <w:t>Erwägungen</w:t>
      </w:r>
    </w:p>
    <w:p>
      <w:r>
        <w:rPr>
          <w:b/>
        </w:rPr>
        <w:t>E. 1</w:t>
      </w:r>
    </w:p>
    <w:p>
      <w:r>
        <w:t>Angefochten ist ein kantonal letztinstanzlicher Gerichtsentscheid über die Gewährung der unentgeltlichen Rechtspflege und Verbeiständung im obergerichtlichen Beschwerdeverfahren in einer Strafsache. Dagegen ist die Beschwerde in Strafsachen gemäss Art. 78 ff. BGG zulässig. Allerdings ist das nach Art. 81 Abs. 1 lit. b BGG für ihre Erhebung erforderliche aktuelle Rechtsschutzinteresse des Beschwerdeführers an der Aufhebung des angefochtenen Entscheids zwischenzeitlich entfallen, nachdem das Obergericht mit Urteil vom 7. März 2013 die Beschwerde abschliessend beurteilte und dabei die Kosten des obergerichtlichen Beschwerdeverfahrens auf die Staatskasse nahm und den Beschwerdeführer für die Kosten seiner Vertretung vollumfänglich entschädigte.</w:t>
      </w:r>
    </w:p>
    <w:p>
      <w:r>
        <w:t>Das Bundesgericht verzichtet zwar ausnahmsweise auf das Erfordernis des aktuellen Rechtsschutzinteresses, wenn sich die aufgeworfenen Fragen jederzeit wieder stellen könnten, an ihrer Beantwortung wegen ihrer grundsätzlichen Bedeutung ein hinreichendes öffentliches Interesse besteht und sie sonst vom Bundesgericht kaum je überprüft werden könnten (Zusammenfassung der Praxis zum altrechtlichen Art. 88 OG in BGE 125 I 394 E. 4b, die unter der Herrschaft des BGG weiterhin Geltung beanspruchen kann: Urteile 1B_351/2012 vom 20. September 2012 E. 2.3.3 und 1B_156/2007 vom 23. August 2007 E. 2). Es ist indessen weder dargetan noch ersichtlich, inwiefern das Bundesgericht kaum je dazu kommen sollte, die Frage der Gewährung der unentgeltlichen Rechtspflege und Verteidigung für das kantonale Beschwerdeverfahren zu prüfen. Es rechtfertigt sich daher nicht, die Beschwerde trotz dahingefallenen Rechtsschutzinteresses materiell zu beurteilen. Es kann daher offen bleiben, ob sie unter dem Gesichtspunkt von Art. 93 Abs. 1 BGG zulässig wäre.</w:t>
      </w:r>
    </w:p>
    <w:p>
      <w:r>
        <w:rPr>
          <w:b/>
        </w:rPr>
        <w:t>E. 2</w:t>
      </w:r>
    </w:p>
    <w:p>
      <w:r>
        <w:t>Die Beschwerde ist somit als gegenstandslos geworden abzuschreiben. Da sich das Obergericht mit dem Verzicht auf eine Kostenauflage an den Beschwerdeführer und dessen vollumfängliche Entschädigung für das Beschwerdeverfahren dessen Begehren faktisch unterzogen hat, ist davon auszugehen, dass die Beschwerde wahrscheinlich gutgeheissen worden wäre. Dementsprechend sind keine Gerichtskosten zu erheben, und dem Beschwerdeführer ist für das bundesgerichtliche Beschwerdeverfahren eine angemessene Entschädigung zuzusprechen (Art. 66 Abs. 1 und Art. 68 Abs. 1 und 2 BGG ). Damit wird das Gesuch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