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1B_56/2010 vom 30. März 2010</w:t>
      </w:r>
    </w:p>
    <w:p>
      <w:r>
        <w:t>Bundesgericht, 2010-03-30, DE</w:t>
      </w:r>
    </w:p>
    <w:p>
      <w:r>
        <w:rPr>
          <w:b/>
        </w:rPr>
        <w:t xml:space="preserve">Quelle: </w:t>
      </w:r>
      <w:r>
        <w:t>https://mcp.opencaselaw.ch/entscheid/bger_1B_56_2010</w:t>
      </w:r>
    </w:p>
    <w:p>
      <w:r>
        <w:t>FR: TF 1B_56/2010 du 30 mars 2010</w:t>
      </w:r>
    </w:p>
    <w:p>
      <w:r>
        <w:t>IT: TF 1B_56/2010 del 30 marzo 2010</w:t>
      </w:r>
    </w:p>
    <w:p>
      <w:pPr>
        <w:pStyle w:val="Heading2"/>
      </w:pPr>
      <w:r>
        <w:t>Erwägungen</w:t>
      </w:r>
    </w:p>
    <w:p>
      <w:r>
        <w:rPr>
          <w:b/>
        </w:rPr>
        <w:t>E. 1.1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1.2</w:t>
      </w:r>
    </w:p>
    <w:p>
      <w:r>
        <w:t>Nicht einzutreten ist indessen auf die Rüge des Beschwerdeführers, dass der Eindruck bestehe, er werde nur deshalb nicht entlassen, weil er Kosovare sei, womit das Gleichbehandlungsgebot klar verletzt werde. Diese Rüge wird in der Beschwerdeschrift nicht weiter begründet und genügt deshalb den Anforderungen von Art. 42 Abs. 2 und Art. 106 Abs. 2 BGG nicht.</w:t>
      </w:r>
    </w:p>
    <w:p>
      <w:r>
        <w:rPr>
          <w:b/>
        </w:rPr>
        <w:t>E. 2.1</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Für die Anordnung bzw. Fortsetzung von Sicherheitshaft ist nach dem Strafprozessrecht des Kantons Basel-Landschaft erforderlich, dass die betreffende Person eines Verbrechens oder Vergehens dringend verdächtigt wird, deshalb gegen sie ein Strafverfahren eröffnet worden ist und ausserdem ein besonderer Haftgrund vorliegt ( § 77 StPO /BL). Die Untersuchungshaft ist durch mildere Massnahmen zu ersetzen, sofern sich der Haftzweck auch auf diese Weise erreichen lässt (§§ 78 f. StPO/BL).</w:t>
      </w:r>
    </w:p>
    <w:p>
      <w:r>
        <w:t>Die Vorinstanz führte aus, es bestehe der dringende Verdacht, dass der Beschwerdeführer mindestens 5'773,39 Gramm hochwertiges Heroingemisch und 9'000 Gramm Streckmittel aufbewahrt habe. Dies entspreche etwa 23'000 Gramm Strassenheroin. Der Beschwerdeführer bestreitet diese Ausführungen und mithin den dringenden Verdacht der qualifizierten Widerhandlung gegen das Betäubungsmittelgesetz ( Art. 19 Ziff. 2 BetmG ) nicht. Er wendet sich jedoch gegen die Annahme eines besonderen Haftgrundes und macht darüber hinaus geltend, die Aufrechterhaltung der Haft sei unverhältnismässig.</w:t>
      </w:r>
    </w:p>
    <w:p>
      <w:r>
        <w:rPr>
          <w:b/>
        </w:rPr>
        <w:t>E. 2.2</w:t>
      </w:r>
    </w:p>
    <w:p>
      <w:r>
        <w:t>Gemäss dem angefochtenen Entscheid besteht Fluchtgefahr ( § 77 Abs. 1 lit. a StPO /BL). Die Vorinstanz führt zu diesem Haftgrund aus, der Beschwerdeführer stamme aus dem Kosovo und sei im Jahr 2000 in die Schweiz gezogen. Er verfüge über eine Niederlassungsbewilligung C, welche ihm im Falle einer Verurteilung entzogen werden könnte. Seine Mietwohnung in Birsfelden sei geräumt und dem Vermieter zurückgegeben worden. Seine Arbeitsstelle sei ihm gekündigt worden. Zudem habe er nicht unerhebliche Schulden und gemäss seinen eigenen Aussagen bereits zu jener Zeit, als er noch über eine geregelte Arbeitsbeschäftigung verfügt habe, erhebliche finanzielle Schwierigkeiten gehabt. Von seiner Ehefrau und seinen Kindern lebe er seit Jahren getrennt. Seine Kinder sehe er nur im Rahmen des Besuchsrechts. Zwei seiner Schwestern und deren Familien lebten zwar in der Schweiz, eine weitere Schwester wie auch seine Mutter lebten dagegen im Kosovo. Seine Mutter besitze dort ein Haus. Von 1994 bis 2000 habe er in Deutschland gelebt, sodass auch zu diesem Land Bezugspunkte bestünden. Ersatzmassnahmen wie das "Electronic Monitoring", eine Schriftensperre oder Meldepflicht würden nicht genügen, um der Fluchtgefahr zu begegnen.</w:t>
      </w:r>
    </w:p>
    <w:p>
      <w:r>
        <w:rPr>
          <w:b/>
        </w:rPr>
        <w:t>E. 2.3</w:t>
      </w:r>
    </w:p>
    <w:p>
      <w:r>
        <w:t>Der Beschwerdeführer hält dem entgegen, obwohl er nicht mit seinen Kindern zusammen lebe, sei ihm der Kontakt zu ihnen wichtig. Er habe seinen Lebensmittelpunkt in der Schweiz und sei gut integriert. Im Kosovo hätte er dagegen keine Zukunftsperspektiven. Bezüglich der Alimentenzahlungen und der aufgelaufenen Mietschulden habe er Vereinbarungen treffen können, sodass ihn diese Schulden in den nächsten Monaten bzw. Jahren nicht übermässig zu belasten bräuchten. Nach einer Haftentlassung werde er bei seiner Schwester und dem Schwager in der Schweiz wohnen können und von ihnen auch finanzielle Unterstützung erhalten. Dass ihm die Niederlassungsbewilligung entzogen werde, sei nicht sicher. Erst im Zeitpunkt des Strafurteils werde sich zeigen, ob die Voraussetzungen dafür gegeben seien. Es wäre unklug, ins Ausland zu flüchten, solange die Möglichkeit bestehe, dass er die Niederlassungsbewilligung behalten könne.</w:t>
      </w:r>
    </w:p>
    <w:p>
      <w:r>
        <w:t>Der Beschwerdeführer sieht das "Electronic Monitoring", die Schriftensperre oder die Meldepflicht jedenfalls als hinreichend an, um der von der Vorinstanz behaupteten Fluchtgefahr zu begegnen. Den angefochtenen Entscheid rügt er darüber hinaus auch deshalb als unverhältnismässig, weil er unter den Haftbedingungen und der Isolierung von seinem familiären Umfeld leide.</w:t>
      </w:r>
    </w:p>
    <w:p>
      <w:r>
        <w:rPr>
          <w:b/>
        </w:rPr>
        <w:t>E. 2.4</w:t>
      </w:r>
    </w:p>
    <w:p>
      <w:r>
        <w:t>Qualifizierte Widerhandlung gegen das Betäubungsmittelgesetz ( Art. 19 Ziff. 2 BetmG ) ist mit einer Mindeststrafe von einem Jahr Freiheitsentzug bedroht. Der Beschwerdeführer hat unbestrittenermassen Schulden, welche auch nicht ausschliesslich auf seine Inhaftierung zurückzuführen sind. Es sind keine Anhaltspunkte dafür ersichtlich, dass sich seine wirtschaftliche Lage in kurzer Zeit wesentlich verbessern wird, wie er dies behauptet. Der Beschwerdeführer verfügt sowohl in der Schweiz (nach eigenen Angaben bedeuten ihm vor allem seine Kinder sehr viel) wie auch im Kosovo über enge persönliche Beziehungen. Insgesamt erweisen sich seine Zukunftsperspektiven in der Schweiz als ungünstig, zumal auch die Aussicht auf einen Widerruf der Niederlassungsbewilligung nach Art. 63 AuG (SR 142.20) besteht.</w:t>
      </w:r>
    </w:p>
    <w:p>
      <w:r>
        <w:t>Unter diesen Voraussetzungen erweist sich die Fluchtgefahr als erheblich und die Vorinstanz hat auch kein Verfassungsrecht verletzt, indem sie mögliche Ersatzmassnahmen (insbesondere das "Electronic Monitoring") als ungenügend ansah (zum "Electronic Monitoring" als Ersatzmassnahme zur Haft vgl. zur Publ. bestimmtes Urteil 1C_381/2009 vom 13. Oktober 2009 E. 3 mit Hinweisen). Schliesslich ist die Fortsetzung der Untersuchungshaft auch nicht deshalb unverhältnismässig, weil der Beschwerdeführer vorbringt, unter den Haftbedingungen und der Isolierung zu leiden. Die von ihm angesprochenen Einschränkungen der persönlichen Freiheit sind unumgängliche Begleiterscheinungen der Untersuchungshaft.</w:t>
      </w:r>
    </w:p>
    <w:p>
      <w:r>
        <w:rPr>
          <w:b/>
        </w:rPr>
        <w:t>E. 3</w:t>
      </w:r>
    </w:p>
    <w:p>
      <w:r>
        <w:t>Zusammenfassend ergibt sich, dass die Beschwerde abzuweisen ist, soweit darauf einzutreten ist. Es erübrigt sich damit, auf den vom Verfahrensgericht in Strafsachen im Rahmen der Vernehmlassung vorgebrachten Haftgrund der Kollusionsgefahr einzugehen.</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