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1B_569/2021 vom 4. November 2021</w:t>
      </w:r>
    </w:p>
    <w:p>
      <w:r>
        <w:t>Bundesgericht, 2021-11-04, FR</w:t>
      </w:r>
    </w:p>
    <w:p>
      <w:r>
        <w:rPr>
          <w:b/>
        </w:rPr>
        <w:t xml:space="preserve">Quelle: </w:t>
      </w:r>
      <w:r>
        <w:t>https://mcp.opencaselaw.ch/entscheid/bger_1B_569_2021</w:t>
      </w:r>
    </w:p>
    <w:p>
      <w:r>
        <w:t>FR: TF 1B_569/2021 du 4 novembre 2021</w:t>
      </w:r>
    </w:p>
    <w:p>
      <w:r>
        <w:t>IT: TF 1B_569/2021 del 4 novembre 2021</w:t>
      </w:r>
    </w:p>
    <w:p>
      <w:pPr>
        <w:pStyle w:val="Heading2"/>
      </w:pPr>
      <w:r>
        <w:t>Erwägungen</w:t>
      </w:r>
    </w:p>
    <w:p>
      <w:r>
        <w:rPr>
          <w:b/>
        </w:rPr>
        <w:t>E. 1</w:t>
      </w:r>
    </w:p>
    <w:p>
      <w:r>
        <w:t>Le recours en matière pénale ( art. 78 al. 1 LTF ) est ouvert contre une décision relative au maintien en détention provisoire au sens des art. 212 ss CPP . Selon l'art. 81 al. 1 let. a et let. b ch. 1 LTF, le recourant, prévenu et détenu, a qualité pour recourir. Pour le surplus, le recours a été formé en temps utile ( art. 100 al. 1 LTF ) contre une décision rendue en dernière instance cantonale ( art. 80 al. 1 LTF ) et les conclusions présentées sont recevables au regard de l' art. 107 al. 2 LTF . Partant, il y a lieu d'entrer en matière.</w:t>
      </w:r>
    </w:p>
    <w:p>
      <w:r>
        <w:rPr>
          <w:b/>
        </w:rPr>
        <w:t>E. 2</w:t>
      </w:r>
    </w:p>
    <w:p>
      <w:r>
        <w:t>Invoquant l' art. 221 CPP , le recourant estime qu'il n'existerait pas de soupçons suffisants à son encontre: le fait de s'être trouvé à son insu dans le véhicule intercepté, et d'avoir été traité de "petit" dans les conversations enregistrées seraient insuffisants à ce stade avancé de l'enquête. Tant l'organisateur du transport que le transporteur lui-même (C.________) l'auraient mis hors de cause, après avoir passé des aveux considérés comme crédibles. En définitive, le recourant considère que, loin de se renforcer, les soupçons se seraient amenuisés avec l'avancement de l'enquête.</w:t>
      </w:r>
    </w:p>
    <w:p>
      <w:r>
        <w:rPr>
          <w:b/>
        </w:rPr>
        <w:t>E. 2.1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2.2</w:t>
      </w:r>
    </w:p>
    <w:p>
      <w:r>
        <w:t>Il ressort des écoutes techniques, telles qu'elles sont notamment mentionnées dans l'ordonnance du 5 août 2021 à laquelle l'arrêt attaqué se réfère expressément, que le recourant, ainsi que son comparse C.________, étaient désignés par leur interlocuteur comme "les petits". Il en résulte suffisamment clairement que tous deux semblaient au courant de la nature du transport qu'ils effectuaient ("C'est bon là. Ils sont à Genève. Je leur ai dit garez vous bien. Faites le tour de la voiture. Garez vous dans une zone commerciale. Regardez si les keufs vous ont pas suivis"). Il en ressort également que le commanditaire avait confiance dans les deux intéressés ("moi les petits j'ai confiance"), ce qui peut là aussi sous-entendre que tous deux connaissaient la nature du transport. En outre, alors que C.________, tentant de disculper le recourant, a affirmé que celui-ci n'était pas payé pour ce transport, le recourant lui-même a indiqué qu'il devait recevoir 100 euros. Par ailleurs, le recourant n'a apporté aucune explication crédible sur l'échange de véhicules qui a précédé l'entrée en Suisse. C.________ a encore affirmé que la remise de la drogue avait eu lieu dans le véhicule où se trouvait le recourant, et que ce dernier était stressé au moment de passer la frontière, ce qui s'expliquerait difficilement s'il s'était agi, comme prétend le recourant, d'aller simplement chercher une montre. Compte tenu de ces éléments, les charges apparaissent manifestement suffisantes à ce stade et ne se sont nullement amoindries.</w:t>
      </w:r>
    </w:p>
    <w:p>
      <w:r>
        <w:rPr>
          <w:b/>
        </w:rPr>
        <w:t>E. 3</w:t>
      </w:r>
    </w:p>
    <w:p>
      <w:r>
        <w:t>Invoquant ensuite les art. 237 et 238 CPP , le recourant estime qu'une libération sous caution aurait dû être ordonnée. Dans son arrêt du 16 août 2021, la cour cantonale avait estimé qu'une telle libération serait envisageable si le rôle du recourant devait s'avérer limité, et pour autant que le risque de collusion retenu jusqu'alors ait disparu. L'arrêt attaqué ne tiendrait pas compte de cette possibilité évoquée quelques semaines auparavant, sans s'en expliquer et sans indiquer en quoi le montant proposé de 10'000 fr. serait insuffisant, la somme en question représentant sept fois le salaire minimum français (SMIC) et entre 20 et 25 mois de revenus pour le recourant.</w:t>
      </w:r>
    </w:p>
    <w:p>
      <w:r>
        <w:rPr>
          <w:b/>
        </w:rPr>
        <w:t>E. 3.1</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(arrêts 1B_274/2014 du 26 août 2014 consid. 3.3; 1P.165/2006 du 19 avril 2006 consid. 3.2.1, in SJ 2006 I p. 395). Il convient également de faire preuve de prudence quant à l'origine des fonds proposés comme sûretés (arrêts 1B_42/2015 du 16 février 2015 consid. 2.3; 1B_576/2012 du 19 octobre 2012 consid. 5.3 et les références citées).</w:t>
      </w:r>
    </w:p>
    <w:p>
      <w:r>
        <w:rPr>
          <w:b/>
        </w:rPr>
        <w:t>E. 3.2</w:t>
      </w:r>
    </w:p>
    <w:p>
      <w:r>
        <w:t>Le premier arrêt cantonal mentionne la possibilité d'une libération sous caution, pour autant toutefois que le rôle du recourant apparaisse limité. Tel ne semble pas le cas puisque, comme cela est relevé ci-dessus, il existe à tout le moins des indices suffisant d'une participation volontaire à une livraison de 200 gr. de cocaïne. Le recourant relève que le montant de la caution sera versé par ses parents, sans que l'on connaisse toutefois les moyens financiers dont ces derniers disposent, de sorte que le caractère dissuasif de la caution proposée n'est nullement établi. Le recourant n'envisage d'ailleurs pas de demeurer en Suisse en cas de libération, puisqu'il n'y dispose d'aucun lieu de séjour. Compte tenu du risque de fuite évident (le recourant est ressortissant français, sans aucune attache en Suisse; il réside chez son père en France), une libération moyennant le simple versement d'une caution n'est pas envisageable. Dans la mesure où le recourant fait valoir une violation de son droit d'être entendu parce que la cour cantonale ne se serait pas prononcée sur la caution, son grief s'avère mal fondé. En effet, le Tribunal cantonal a explicitement exposé qu'au vu de la peine encourue, le versement de la caution n'était pas propre à dissuader le recourant de se soustraire aux poursuites pénales, ce qui constitue une motivation suffisante au regard du droit d'être entendu ( art. 29 al. 2 Cst. ).</w:t>
      </w:r>
    </w:p>
    <w:p>
      <w:r>
        <w:rPr>
          <w:b/>
        </w:rPr>
        <w:t>E. 4</w:t>
      </w:r>
    </w:p>
    <w:p>
      <w:r>
        <w:t>Manifestement mal fondé, le recours doit être rejeté. Cette issue, d'emblée prévisible, conduit au rejet de la demande d'assistance judiciaire ( art. 64 al. 1 LTF ). Vu les circonstances, le recourant est néanmoins dispensé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