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1B_565/2012 vom 16. Oktober 2012</w:t>
      </w:r>
    </w:p>
    <w:p>
      <w:r>
        <w:t>Bundesgericht, 2012-10-16, FR</w:t>
      </w:r>
    </w:p>
    <w:p>
      <w:r>
        <w:rPr>
          <w:b/>
        </w:rPr>
        <w:t xml:space="preserve">Quelle: </w:t>
      </w:r>
      <w:r>
        <w:t>https://mcp.opencaselaw.ch/entscheid/bger_1B_565_2012</w:t>
      </w:r>
    </w:p>
    <w:p>
      <w:r>
        <w:t>FR: TF 1B_565/2012 du 16 octobre 2012</w:t>
      </w:r>
    </w:p>
    <w:p>
      <w:r>
        <w:t>IT: TF 1B_565/2012 del 16 ottobre 2012</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t>Le Tribunal fédéral examine librement ces questions, sous réserve toutefois de l'appréciation des faits, revue sous l'angle restreint des art. 97 al. 1 et 105 al. 2 LTF ( ATF 135 I 71 consid. 2.5 p. 73 s. et les références). Dans la mesure où les critiques émises par le recourant à l'encontre de l'état de fait cantonal n'évoquent aucun arbitraire, elles sont irrecevables (cf. ATF 137 I 58 consid. 4.1.2 p. 62 s.). Le Tribunal fédéral statuera donc sur la base des faits établis par l'autorité précédente ( art. 105 al. 1 LTF ).</w:t>
      </w:r>
    </w:p>
    <w:p>
      <w:r>
        <w:rPr>
          <w:b/>
        </w:rPr>
        <w:t>E. 3</w:t>
      </w:r>
    </w:p>
    <w:p>
      <w:r>
        <w:t>Le recourant se plaint d'une violation du principe de proportionnalité et soutient que le dossier ne contient pas de forts soupçons d'infraction grave au sens de l'art. 19 ch. 2 de la loi fédérale du 3 octobre 1951 sur les stupéfiants et les substances psychotropes (LStup; RS 812.121). De telles critiques se confondent en grande partie, de sorte qu'il s'impose de les traiter ensemble.</w:t>
      </w:r>
    </w:p>
    <w:p>
      <w:r>
        <w:rPr>
          <w:b/>
        </w:rPr>
        <w:t>E. 3.1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t>En ce qui concerne le principe de proportionnalité, toute personne qui est mise en détention préventive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p. 170 et les références).</w:t>
      </w:r>
    </w:p>
    <w:p>
      <w:r>
        <w:rPr>
          <w:b/>
        </w:rPr>
        <w:t>E. 3.2</w:t>
      </w:r>
    </w:p>
    <w:p>
      <w:r>
        <w:t>A teneur de la décision attaquée, le recourant a admis avoir importé en Suisse, en septembre 2010, une quantité de 60 g de cocaïne en provenance de Bruxelles, reconnaissant que cette drogue était de très bonne qualité; il est en outre mis en cause pour avoir remis à des tiers, dans un cas, 100 g de cocaïne de mauvaise qualité ainsi que, dans un autre cas, plusieurs centaines de grammes de ce même stupéfiant. Devant le Tribunal fédéral, ainsi que cela ressort de l'ordonnance du 30 mars 2012 à laquelle la cour cantonale s'est référée, le recourant reconnaît avoir aussi participé à un trafic de marijuana en provenance de Paris portant sur une quantité totale de 5 à 10 kilos de cette substance.</w:t>
      </w:r>
    </w:p>
    <w:p>
      <w:r>
        <w:t>Contrairement à ce qu'avance le recourant, ces éléments fondent en l'état une prévention suffisante d'infraction grave au sens de l' art. 19 ch. 2 let. a LStup . Il convient d'abord de rappeler qu'en matière de cocaïne une quantité de 18 grammes de substance pure suffit à justifier une peine privative de liberté d'une année au moins ( ATF 122 IV 360 consid. 2a p. 363). Il faut également garder à l'esprit que le comportement délictueux reproché au recourant comprend plusieurs actes impliquant différents stupéfiants et s'étend sur une certaine période. Enfin, le recourant a admis avoir été condamné en Norvège et avoir eu des "problèmes" au Danemark, ce que confirment un extrait du casier judiciaire norvégien (3 ans et 7 mois d'emprisonnement le 2 mars 1993 pour infraction à la loi sur les stupéfiants) et les renseignements d'Interpol Copenhague (4 ans et demi d'emprisonnement en 1999 pour vente d'héroïne).</w:t>
      </w:r>
    </w:p>
    <w:p>
      <w:r>
        <w:rPr>
          <w:b/>
        </w:rPr>
        <w:t>E. 3.3</w:t>
      </w:r>
    </w:p>
    <w:p>
      <w:r>
        <w:t>Dans ces circonstances, la détention subie à ce jour par l'intéressé (moins de treize mois) apparaît encore compatible avec la peine encourue concrètement en cas de condamnation, en particulier en présence d'antécédents judiciaires (cf. art. 47 al. 1 CP ). Par conséquent, le Tribunal cantonal a correctement nié une violation du principe de la proportionnalité. Non contesté, le risque de fuite au sens de l' art. 221 al. 1 let. a CPP autorise le maintien en détention.</w:t>
      </w:r>
    </w:p>
    <w:p>
      <w:r>
        <w:t>Cela étant, comme le relevait d'ailleurs déjà le Tmc dans sa décision de refus de mise en liberté provisoire du 31 juillet 2012, il appartient au Ministère public, nanti depuis le dépôt du rapport final de police en juillet 2012 de l'ensemble des investigations policières, sous réserve du résultat d'une commission rogatoire internationale adressée à la Belgique, de renvoyer le recourant en jugement (cf. art. 5 al. 2 CPP et ATF 137 IV 92 consid. 3.1).</w:t>
      </w:r>
    </w:p>
    <w:p>
      <w:r>
        <w:rPr>
          <w:b/>
        </w:rPr>
        <w:t>E. 4</w:t>
      </w:r>
    </w:p>
    <w:p>
      <w:r>
        <w:t>Il s'ensuit que le recours doit être rejeté, dans la mesure de sa recevabilité. Dès lors que le recourant est dans le besoin et que l'on peut admettre que ses conclusions n'étaient pas d'emblée vouées à l'échec, l'assistance judiciaire doit lui être accordée ( art. 64 al. 1 LTF ). Il y a lieu de désigner Me Pierre-Armand Luyet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