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1B_564/2020 vom 3. November 2020</w:t>
      </w:r>
    </w:p>
    <w:p>
      <w:r>
        <w:t>Bundesgericht, 2020-11-03, DE</w:t>
      </w:r>
    </w:p>
    <w:p>
      <w:r>
        <w:rPr>
          <w:b/>
        </w:rPr>
        <w:t xml:space="preserve">Quelle: </w:t>
      </w:r>
      <w:r>
        <w:t>https://mcp.opencaselaw.ch/entscheid/bger_1B_564_2020</w:t>
      </w:r>
    </w:p>
    <w:p>
      <w:r>
        <w:t>FR: TF 1B_564/2020 du 3 novembre 2020</w:t>
      </w:r>
    </w:p>
    <w:p>
      <w:r>
        <w:t>IT: TF 1B_564/2020 del 3 novembre 2020</w:t>
      </w:r>
    </w:p>
    <w:p>
      <w:pPr>
        <w:pStyle w:val="Heading2"/>
      </w:pPr>
      <w:r>
        <w:t>Erwägungen</w:t>
      </w:r>
    </w:p>
    <w:p>
      <w:r>
        <w:rPr>
          <w:b/>
        </w:rPr>
        <w:t>E. 1</w:t>
      </w:r>
    </w:p>
    <w:p>
      <w:r>
        <w:t>Angefochten ist ein kantonal letztinstanzlicher Entscheid, mit dem das Obergericht die Weigerung des Bezirksgerichts, das Strafverfahren gegen den Beschwerdeführer mit denjenigen gegen Mittäter und andere Beteiligte zu vereinigen, geschützt hat. Dagegen ist die Beschwerde in Strafsachen zulässig ( Art. 78 Abs. 1, Art. 80 BGG ), womit die subsidiäre Verfassungsbeschwerde unzulässig ist ( Art. 113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w:t>
      </w:r>
    </w:p>
    <w:p>
      <w:r>
        <w:t>Der Beschwerdeführer legt nicht dar, inwiefern ihm durch den angefochtenen Entscheid ein nicht wiedergutzumachender Nachteil rechtlicher Natur droht, und das ist auch keineswegs offensichtlich. Auf die Beschwerde ist wegen Verletzung der gesetzlichen Begründungspflicht nicht einzutreten, und zwar, weil der Mangel offensichtlich ist, im vereinfachten Verfahren. Das Gesuch um unentgeltliche Rechtspflege ist abzuweisen, da die Beschwerde aussichtslos war ( Art. 64 Abs. 1 BGG ). Hingegen kann auf eine Kostenauflage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