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1B_563/2022 vom 19. Januar 2023</w:t>
      </w:r>
    </w:p>
    <w:p>
      <w:r>
        <w:t>Bundesgericht, 2023-01-19, DE</w:t>
      </w:r>
    </w:p>
    <w:p>
      <w:r>
        <w:rPr>
          <w:b/>
        </w:rPr>
        <w:t xml:space="preserve">Quelle: </w:t>
      </w:r>
      <w:r>
        <w:t>https://mcp.opencaselaw.ch/entscheid/bger_1B_563_2022</w:t>
      </w:r>
    </w:p>
    <w:p>
      <w:r>
        <w:t>FR: TF 1B_563/2022 du 19 janvier 2023</w:t>
      </w:r>
    </w:p>
    <w:p>
      <w:r>
        <w:t>IT: TF 1B_563/2022 del 19 gennaio 2023</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 steht. Der Beschwerdeführer ist als beschuldigte Person zur Beschwerde legitimiert (Art. 81 Abs. 1 lit. a und b Ziff. 1 BGG).</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Urteil 1B_611/2021 vom 12. Mai 2022 E. 1.2). Diese Voraussetzung ist vorliegend erfüllt. Ob die vorgebrachten Entsiegelungshindernisse im vorinstanzlichen Verfahren genügend substanziiert geltend gemacht wurden, bildet Gegenstand der inhaltlichen Beurteilung (Urteil 1B_611/2021 vom 12. Mai 2022 E. 1.2 mit Hinweis).</w:t>
      </w:r>
    </w:p>
    <w:p>
      <w:r>
        <w:rPr>
          <w:b/>
        </w:rPr>
        <w:t>E. 1.3</w:t>
      </w:r>
    </w:p>
    <w:p>
      <w:r>
        <w:t>Die weiteren Eintretensvoraussetzungen geben zu keinen Bemerkungen Anlass. Auf die Beschwerde ist einzutreten.</w:t>
      </w:r>
    </w:p>
    <w:p>
      <w:r>
        <w:rPr>
          <w:b/>
        </w:rPr>
        <w:t>E. 2</w:t>
      </w:r>
    </w:p>
    <w:p>
      <w:r>
        <w:t>Die Vorinstanz hat in ihrem Entscheid sowohl das Vorliegen eines hinreichenden Tatverdachts, einen Deliktskonnex als auch die Verhältnismässigkeit der durch die Staatsanwaltschaft beantragten Durchsuchung des sichergestellten Mobiltelefons bejaht. Sodann hat sie festgehalten, der Beschwerdeführer sei seiner Substanziierungspflicht hinsichtlich der geltend gemachten Geheimhaltungsinteressen nicht hinreichend nachgekommen, weshalb das versiegelte Mobiltelefon ohne Einschränkungen zur Durchsuchung freizugeben sei.</w:t>
      </w:r>
    </w:p>
    <w:p>
      <w:r>
        <w:t>Der Beschwerdeführer bestreitet die grundsätzlich Zulässigkeit der Durchsuchung seines Mobiltelefons vor Bundesgericht nicht mehr. Er wendet sich einzig insofern gegen den angefochtenen Entscheid, als darauf verzichtet wurde, die von ihm geltend gemachte Anwaltskorrespondenz vorgängig auszusondern. Er rügt, er sei seiner diesbezüglichen Substanziierungspflicht hinreichend nachgekommen, weshalb der angefochtene Entscheid Art. 248 StPO verletze.</w:t>
      </w:r>
    </w:p>
    <w:p>
      <w:r>
        <w:rPr>
          <w:b/>
        </w:rPr>
        <w:t>E. 3.1</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(zum Ganzen: Urteile 1B_369/2022 vom 10. Oktober 2022 E. 4.2; 1B_611/2021 vom 12. Mai 2022 E. 7.1; je mit Hinweisen). Dies gilt auch im Zusammenhang mit der Anrufung des Anwaltsgeheimnisses als gesetzliches Entsiegelungshindernis (Urteile 1B_369/2022 vom 10. Oktober 2022 E. 4.3; 1B_427/2021 vom 21. Januar 2022 E. 6.6.2; 1B_243/2020 vom 26. Februar 2021 E. 3.2).</w:t>
      </w:r>
    </w:p>
    <w:p>
      <w:r>
        <w:rPr>
          <w:b/>
        </w:rPr>
        <w:t>E. 3.2</w:t>
      </w:r>
    </w:p>
    <w:p>
      <w:r>
        <w:t>Die Vorinstanz hat diesbezüglich erwogen, der Beschwerdeführer habe geltend gemacht, dass sich auf dem sichergestellten Mobiltelefon Anwaltskorrespondenz befinde, die mit E-Mail-Adressen mit den Endungen "@mffh.ch" und "@fingerhuth.law" geführt worden sei. Es sei jedoch zu berücksichtigen, dass bei E-Mail-Adressen jederzeit von überall auf das E-Mail-Konto online zugegriffen werden könne. Dem Beschwerdeführer hätte es entsprechend offen gestanden, die betreffenden E-Mails in den entsprechenden E-Mail-Konten abzurufen und sodann in seiner Eingabe konkret mit dem Datum zu bezeichnen. Des Weiteren werde nicht vorgebracht, in welcher Applikation die Korrespondenz auf dem sichergestellten Gerät zu finden sei. Dies genüge für eine substanziierte Behauptung nicht.</w:t>
      </w:r>
    </w:p>
    <w:p>
      <w:r>
        <w:rPr>
          <w:b/>
        </w:rPr>
        <w:t>E. 3.3</w:t>
      </w:r>
    </w:p>
    <w:p>
      <w:r>
        <w:t>Dem kann nicht gefolgt werden:</w:t>
      </w:r>
    </w:p>
    <w:p>
      <w:r>
        <w:rPr>
          <w:b/>
        </w:rPr>
        <w:t>E. 3.3.1</w:t>
      </w:r>
    </w:p>
    <w:p>
      <w:r>
        <w:t>Die prozessuale Obliegenheit, angerufene Geheimhaltungsinteressen ausreichend zu substanziieren, ist kein Selbstzweck, sondern soll dem Zwangsmassnahmengericht eine sachgerechte und gezielte Triage ermöglichen (Urteil 1B_611/2021 vom 12. Mai 2022 E. 7.4.2 mit Hinweis). Praxisgemäss ist es hierfür ausreichend, wenn der Speicherort der geschützten Anwaltskorrespondenz und die Namen der Anwältinnen und Anwälte bekannt sind, da so ohne Weiteres mittels Suchfunktion nach der geschützten Anwaltskorrespondenz gesucht werden kann und eine Aussonderung ohne grossen Aufwand bzw. aufwändige Nachforschungen möglich ist (Urteile 1B_611/2021 vom 12. Mai 2022 E. 7.4.2; 1B_602/2020 vom 23. Februar 2021 E. 4.3).</w:t>
      </w:r>
    </w:p>
    <w:p>
      <w:r>
        <w:rPr>
          <w:b/>
        </w:rPr>
        <w:t>E. 3.3.2</w:t>
      </w:r>
    </w:p>
    <w:p>
      <w:r>
        <w:t>Vorliegend hat der Beschwerdeführer zwar weder konkrete Angaben zum Speicherort der geschützten Anwaltskorrespondenz noch zu den Namen der Anwältinnen und Anwälten gemacht. Doch hat er im vorinstanzlichen Verfahren klar zum Ausdruck gebracht, dass die geschützte Anwaltskorrespondenz per E-Mail geführt worden sei und die Suffixe der fraglichen E-Mail-Adressen ("@mffh.ch" und "@fingerhuth.law") angegeben. Inwiefern diese Angaben der Vorinstanz keine sachgerechte und gezielte Triage der sich auf dem sichergestellten Mobiltelefon befindlichen E-Mail-Korrespondenz erlauben sollen, wird nicht dargelegt und ist auch nicht ersichtlich.</w:t>
      </w:r>
    </w:p>
    <w:p>
      <w:r>
        <w:t>Das Gesagte ist indessen insoweit zu präzisieren, als auf eine Nennung des exakten Speicherorts nur dann verzichtet werden darf, wenn offensichtlich ist, wo diejenigen Daten abgelegt sind, die dem angerufenen Geheimnisschutz unterliegen sollen (vgl. statt vieler BGE 141 IV 1 E. 1.1; Urteil 1B_75/2022 vom 3. Mai 2022 E. 2.3; jeweils zur Substanziierungspflicht bei offensichtlich erfüllten [Eintretens-] Voraussetzungen). Dies ist vorliegend der Fall: Der Beschwerdeführer bringt zu Recht vor, dass aufgrund seiner Vorbringen und den Umständen klar sei, dass sich die geschützte Anwaltskorrespondenz in der E-Mail-Applikation des Mobiltelefons befinde. Damit ist aber zugleich auch gesagt, dass mangels weitergehender Substanziierung die Vorinstanz nicht verpflichtet ist, auch andere Applikationen nach allfälliger Anwaltskorrespondenz zu durchsuchen.</w:t>
      </w:r>
    </w:p>
    <w:p>
      <w:r>
        <w:rPr>
          <w:b/>
        </w:rPr>
        <w:t>E. 3.4</w:t>
      </w:r>
    </w:p>
    <w:p>
      <w:r>
        <w:t>Damit erweist sich die Beschwerde als begründet. Die Vorinstanz wird vor der Freigabe des sichergestellten Mobiltelefons zur Durchsuchung allfällige sich darauf befindliche Anwaltskorrespondenz auszusondern haben.</w:t>
      </w:r>
    </w:p>
    <w:p>
      <w:r>
        <w:rPr>
          <w:b/>
        </w:rPr>
        <w:t>E. 4</w:t>
      </w:r>
    </w:p>
    <w:p>
      <w:r>
        <w:t>Nach dem Gesagten ist die Beschwerde gutzuheissen. Der angefochtene Entscheid ist aufzuheben und die Entsiegelungssache zur Neubeurteilung im Sinne der Erwägungen an die Vorinstanz zurückzuweisen.</w:t>
      </w:r>
    </w:p>
    <w:p>
      <w:r>
        <w:t>Bei diesem Ausgang des Verfahrens sind keine Gerichtskosten zu erheben ( Art. 66 Abs. 4 BGG ). Der Kanton Zürich hat dem obsiegenden Beschwerdeführer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