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1B_563/2019 vom 9. Juni 2020</w:t>
      </w:r>
    </w:p>
    <w:p>
      <w:r>
        <w:t>Bundesgericht, 2020-06-09, FR</w:t>
      </w:r>
    </w:p>
    <w:p>
      <w:r>
        <w:rPr>
          <w:b/>
        </w:rPr>
        <w:t xml:space="preserve">Quelle: </w:t>
      </w:r>
      <w:r>
        <w:t>https://mcp.opencaselaw.ch/entscheid/bger_1B_563_2019</w:t>
      </w:r>
    </w:p>
    <w:p>
      <w:r>
        <w:t>FR: TF 1B_563/2019 du 9 juin 2020</w:t>
      </w:r>
    </w:p>
    <w:p>
      <w:r>
        <w:t>IT: TF 1B_563/2019 del 9 giugno 2020</w:t>
      </w:r>
    </w:p>
    <w:p>
      <w:pPr>
        <w:pStyle w:val="Heading2"/>
      </w:pPr>
      <w:r>
        <w:t>Erwägungen</w:t>
      </w:r>
    </w:p>
    <w:p>
      <w:r>
        <w:rPr>
          <w:b/>
        </w:rPr>
        <w:t>E. 1</w:t>
      </w:r>
    </w:p>
    <w:p>
      <w:r>
        <w:t>Les deux recours sont formés contre la même décision et contiennent des développements ainsi que des conclusions similaires. Il se justifie dès lors de joindre les causes 1B_563/2019 et 1B_565/2019 pour des motifs d'économie de procédure et de statuer à leur sujet dans un seul arrêt (cf. art. 24 PCF applicable par analogie vu le renvoi de l' art. 71 LTF ).</w:t>
      </w:r>
    </w:p>
    <w:p>
      <w:r>
        <w:rPr>
          <w:b/>
        </w:rPr>
        <w:t>E. 2</w:t>
      </w:r>
    </w:p>
    <w:p>
      <w:r>
        <w:t>Le Tribunal fédéral examine d'office sa compétence ( art. 29 al. 1 LTF ) et contrôle librement la recevabilité des recours qui lui sont soumis ( ATF 145 II 168 consid. 1 p. 170).</w:t>
      </w:r>
    </w:p>
    <w:p>
      <w:r>
        <w:rPr>
          <w:b/>
        </w:rPr>
        <w:t>E. 2.1</w:t>
      </w:r>
    </w:p>
    <w:p>
      <w:r>
        <w:t>L'arrêt attaqué, qui confirme la suspension de la procédure pénale jusqu'à droit connu dans celle civile opposant la Fondation aux recourants, est une décision rendue en matière pénale au sens de l' art. 78 al. 1 LTF . Elle émane de plus d'une autorité cantonale de dernière instance ( art. 80 al. 1 LTF ) et les recours ont été déposés en temps utile ( art. 100 al. 1 LTF ).</w:t>
      </w:r>
    </w:p>
    <w:p>
      <w:r>
        <w:rPr>
          <w:b/>
        </w:rPr>
        <w:t>E. 2.2</w:t>
      </w:r>
    </w:p>
    <w:p>
      <w:r>
        <w:t>Aux termes de l'art. 81 al. 1 let. b ch. 5 LTF, la qualité pour recourir au Tribunal fédéral est reconnue à la partie plaignante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 ATF 141 IV 1 consid. 1.1. p. 5). En l'occurrence, si les recourants ne démontrent certes pas disposer de prétentions civiles en raison des actes dénoncés, ils font néanmoins valoir que la suspension de la procédure pénale violerait le principe de la célérité ( art. 29 al. 1 Cst. ). Or, la conduite de la procédure pénale sans retard injustifié est non seulement dans l'intérêt de l'Etat, mais également dans l'intérêt du justiciable. Par conséquent, cette garantie doit être considérée comme un droit procédural reconnu aux parties à la procédure, dont la partie plaignante est susceptible de faire valoir la violation (arrêts 1B_406/2017 du 23 janvier 2018 consid. 1; 1B_421/2012 du 19 juin 2013 consid. 1.1; 1B_721/2011 du 7 mars 2012 consid. 1.2).</w:t>
      </w:r>
    </w:p>
    <w:p>
      <w:r>
        <w:t>Pour ce même motif - violation du principe de célérité -, le recours est immédiatement recevable indépendamment de la nature incidente de la décision attaquée ( ATF 143 IV 175 consid. 2.3 p. 177 s. et les arrêts cités). En tout état de cause, les recourants se prévalent - certes dans leurs griefs au fond - du risque de voir l'action pénale se prescrire en raison de la suspension de la procédure pénale jusqu'à droit connu sur la procédure civile, de sorte qu'il n'est pas d'emblée exclu qu'ils subissent un préjudice irréparable au sens de l' art. 93 al. 1 let. a LTF à la suite de la décision de suspension.</w:t>
      </w:r>
    </w:p>
    <w:p>
      <w:r>
        <w:t>Partant, il y a lieu d'entrer en matière.</w:t>
      </w:r>
    </w:p>
    <w:p>
      <w:r>
        <w:rPr>
          <w:b/>
        </w:rPr>
        <w:t>E. 3</w:t>
      </w:r>
    </w:p>
    <w:p>
      <w:r>
        <w:t>Selon l' art. 99 al. 1 LTF , aucun fait nouveau ni preuve nouvelle ne peut être présenté au Tribunal fédéral à moins de résulter de la décision de l'autorité précédente.</w:t>
      </w:r>
    </w:p>
    <w:p>
      <w:r>
        <w:t>L'intimé a produit, à l'appui de ses déterminations du 15 mai 2020, une copie du courrier qu'il avait adressé le même jour au Ministère public. Cette pièce, ainsi que les faits qui en découlent, sont nouveaux et partant irrecevables en instance fédérale.</w:t>
      </w:r>
    </w:p>
    <w:p>
      <w:r>
        <w:rPr>
          <w:b/>
        </w:rPr>
        <w:t>E. 4</w:t>
      </w:r>
    </w:p>
    <w:p>
      <w:r>
        <w:t>Invoquant un déni de justice formel ( art. 29 al. 1 Cst. ) ainsi qu'une violation de leur droit d'être entendus ( art. 29 al. 2 Cst. ), les recourants se plaignent que la cour cantonale n'a pas examiné leurs griefs par lesquels ils soutenaient que la suspension de la procédure pénale était contraire aux exigences découlant du principe de la célérité ( art. 29 al. 1 Cst. ; art. 5 al. 1 CPP ).</w:t>
      </w:r>
    </w:p>
    <w:p>
      <w:r>
        <w:rPr>
          <w:b/>
        </w:rPr>
        <w:t>E. 4.1.1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p. 192 et les références citées; arrêts 1C_475/2019 du 29 janvier 2020 consid. 3.2; 1C_647/2018 du 14 août 2019 consid. 2.3).</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w:t>
      </w:r>
    </w:p>
    <w:p>
      <w:r>
        <w:rPr>
          <w:b/>
        </w:rPr>
        <w:t>E. 4.1.2</w:t>
      </w:r>
    </w:p>
    <w:p>
      <w:r>
        <w:t>Selon l' art. 314 al. 1 let. b CPP ,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1B_421/2012 du 19 juin 2013 consid. 2.1).</w:t>
      </w:r>
    </w:p>
    <w:p>
      <w:r>
        <w:t>Le principe de la célérité qui découle de l' art. 29 al. 1 Cst. et, en matière pénale, de l' art. 5 CPP ,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1B_163/2014 du 18 juillet 2014 consid. 2.2; 1B_421/2012 du 19 juin 2013 consid. 2.3). Dans les cas limites ou douteux, le principe de célérité prime ( ATF 130 V 90 consid. 5 p. 95; arrêt 1B_329/2017 du 11 septembre 2017 consid. 3).</w:t>
      </w:r>
    </w:p>
    <w:p>
      <w:r>
        <w:rPr>
          <w:b/>
        </w:rPr>
        <w:t>E. 4.2</w:t>
      </w:r>
    </w:p>
    <w:p>
      <w:r>
        <w:t>En substance, l'autorité précédente a relevé, en référence à la jurisprudence relative à l'infraction de contrainte (cf. art. 181 CP ), que l'envoi d'un commandement de payer, portant sur une importante somme d'argent, était propre à constituer la menace d'un dommage sérieux, un tel commandement de payer étant de nature à inciter une personne de sensibilité moyenne à céder à la pression subie, donc à l'entraver d'une manière substantielle dans sa liberté de décision ou d'action. Certes, il était licite de faire notifier un commandement de payer lorsqu'on était fondé à réclamer une somme d'argent. En revanche, utiliser un tel procédé comme moyen de pression était clairement abusif, donc illicite (arrêt 6B_8/2017 du 15 août 2017 consid. 2.1; arrêt 6B_70/2016 du 2 juin 2016 consid. 4.3.4, non publié aux ATF 142 IV 315 ).</w:t>
      </w:r>
    </w:p>
    <w:p>
      <w:r>
        <w:t>Cela étant, elle a estimé qu'il appartenait dans un premier temps au juge civil, saisi d'une requête en conciliation formée par la Fondation D.________, de se prononcer sur le bien-fondé des prétentions en responsabilité visant les recourants, et en particulier de déterminer la validité des conventions conclues en 2015, respectivement celle de leur résolution pour erreur essentielle (cf. art. 23 ss CO ). Ainsi, les plaintes des recourants n'auraient de chances de succès que si, notamment, aucune action ne pouvait être engagée à leur encontre parce que les conventions de juillet 2015 étaient toujours valables. A supposer que ce fût le cas, il se poserait encore, pour le Procureur, la question du caractère illicite des commandements de payer et du but poursuivi par la Fondation D.________, celle-ci, par l'intermédiaire de l'intimé, soutenant n'avoir agi que pour interrompre la prescription, des contrordres ayant d'ailleurs été adressés à l'Office des poursuites.</w:t>
      </w:r>
    </w:p>
    <w:p>
      <w:r>
        <w:t>Il s'ensuivait que le Ministère public était fondé à suspendre l'instruction de la procédure pénale, tout en s'assurant du dépôt de la demande en paiement après la procédure de conciliation (cf. arrêt entrepris, consid. 3.3 p. 7 s.).</w:t>
      </w:r>
    </w:p>
    <w:p>
      <w:r>
        <w:rPr>
          <w:b/>
        </w:rPr>
        <w:t>E. 4.3</w:t>
      </w:r>
    </w:p>
    <w:p>
      <w:r>
        <w:t>Certes, la cour cantonale ne s'est pas prononcée expressément quant à la durée potentielle de la procédure civile, eu égard notamment à sa complexité, et quant à la violation du principe de la célérité qui pourrait en découler sur le plan de la procédure pénale.</w:t>
      </w:r>
    </w:p>
    <w:p>
      <w:r>
        <w:t>On comprend néanmoins du raisonnement adopté par l'autorité précédente que la connaissance du sort réservé à l'action civile au fond (cf. art. 219 ss CPC ), qui serait dirigée contre les recourants à la suite de la procédure de conciliation (cf. art. 197 ss CPC ), constituait un préalable nécessaire à toute éventuelle condamnation de l'intimé, de sorte qu'à ses yeux, si la cause pénale devait être jugée avant l'issue connue de la procédure civile, seul un acquittement, respectivement un classement de la procédure, pourrait être envisagé. Dès lors également que les actes de tentative de contrainte reprochés à l'intimé auraient été commis à l'automne 2018 et que l'action pénale se prescrit par dix ans (cf. art. 97 al. 1 let . c CP ad art. 181 CP ) - si bien que la prescription ne serait atteinte qu'en 2028 -, il doit en être déduit que, selon la cour cantonale, les exigences relatives au principe de la célérité n'étaient pas en l'état susceptibles de justifier la poursuite de la procédure pénale, alors que la procédure civile devait suivre son cours.</w:t>
      </w:r>
    </w:p>
    <w:p>
      <w:r>
        <w:t>Il n'apparaît pas dans ce contexte que la cour cantonale a violé le droit des recourants d'être entendus, ni que l'absence de considération explicite eu égard au principe de la célérité constitue un déni de justice formel.</w:t>
      </w:r>
    </w:p>
    <w:p>
      <w:r>
        <w:rPr>
          <w:b/>
        </w:rPr>
        <w:t>E. 4.4</w:t>
      </w:r>
    </w:p>
    <w:p>
      <w:r>
        <w:t>En tant que les recourants soutiennent qu'une condamnation pour tentative de contrainte en lien avec la notification d'un commandement de payer ne requerrait pas nécessairement que la créance en cause fût dépourvue de fondement, il apparaît néanmoins qu'à l'instar du caractère exorbitant de la créance, l'existence ou non de démarches judiciaires entreprises à la suite de la notification d'un commandement de payer constitue un élément d'appréciation qui peut s'avérer déterminant au moment d'établir si le prévenu a agi aux fins de nuire à la personne poursuivie en l'entravant dans sa liberté d'action (cf. en ce sens arrêt 6B_153/2017 du 28 novembre 2017 consid. 3.2.2).</w:t>
      </w:r>
    </w:p>
    <w:p>
      <w:r>
        <w:t>Dans ce contexte, il y a lieu de prendre en considération que l'intimé a déclaré avoir agi dans le but d'interrompre la prescription des créances, ce qui ressort également de la remarque apposée sur les commandements de payer litigieux (cf. arrêt entrepris, ad "En fait" let. B.a p. 2). Même si d'autres moyens étaient certes envisageables pour atteindre ce but, cette circonstance ne paraît en l'état pas suffisante pour déduire chez l'intimé, qui a allégué avoir agi dans l'urgence, une volonté de s'en prendre à la liberté d'action des recourants, étant observé que les réquisitions de poursuite avaient fait l'objet de contrordres de la part de l'intimé, de sorte que les poursuites litigieuses n'apparaissaient plus dans les extraits du registre des poursuites concernant les recourants ( art. 8a LP ; cf. dossier cantonal, extraits produits le 14 décembre 2018 par le mandataire de l'intimé et datés du même jour). A ce stade, on ne voit pas non plus d'emblée que le dépôt d'une requête de conciliation relevait d'un prétexte utilisé uniquement pour justifier</w:t>
      </w:r>
    </w:p>
    <w:p>
      <w:r>
        <w:t>a posteriori la notification de commandements de payer, alors que le dépôt, le 19 juillet 2019, d'une telle requête - de plus de 70 pages selon le recourant B.________ - a probablement dû nécessiter un temps certain à sa préparation ainsi que l'engagement de frais conséquents de la part de la fondation demanderesse. Il n'est pour le surplus pas décisif que les contrordres, de même que la résolution des conventions conclues avec les recourants, soient intervenus après que l'intimé avait été informé des plaintes formées à son encontre.</w:t>
      </w:r>
    </w:p>
    <w:p>
      <w:r>
        <w:t>De surcroît, en tant notamment que le Ministère public a expressément réservé la nécessité du dépôt d'une action civile au fond dans un délai raisonnable, il demeurera loisible aux recourants de requérir de cette autorité la reprise de la procédure pénale, au gré des développements et de l'avancement de la procédure civile.</w:t>
      </w:r>
    </w:p>
    <w:p>
      <w:r>
        <w:t>Au vu de ce qui précède, il apparaît que la suspension de la procédure pénale, justifiée par des motifs objectifs, ne viole pas le droit fédéral.</w:t>
      </w:r>
    </w:p>
    <w:p>
      <w:r>
        <w:rPr>
          <w:b/>
        </w:rPr>
        <w:t>E. 5</w:t>
      </w:r>
    </w:p>
    <w:p>
      <w:r>
        <w:t>Il s'ensuit que les recours doivent être rejetés.</w:t>
      </w:r>
    </w:p>
    <w:p>
      <w:r>
        <w:t>Les recourants, qui succombent, supportent solidairement les frais judiciaires ( art. 66 al. 1 LTF ). L'intimé, qui obtient gain de cause avec l'assistance d'un avocat, a droit à des dépens à la charge des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