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1B_55/2023 vom 16. Februar 2023</w:t>
      </w:r>
    </w:p>
    <w:p>
      <w:r>
        <w:t>Bundesgericht, 2023-02-16, FR</w:t>
      </w:r>
    </w:p>
    <w:p>
      <w:r>
        <w:rPr>
          <w:b/>
        </w:rPr>
        <w:t xml:space="preserve">Quelle: </w:t>
      </w:r>
      <w:r>
        <w:t>https://mcp.opencaselaw.ch/entscheid/bger_1B_55_2023</w:t>
      </w:r>
    </w:p>
    <w:p>
      <w:r>
        <w:t>FR: TF 1B_55/2023 du 16 février 2023</w:t>
      </w:r>
    </w:p>
    <w:p>
      <w:r>
        <w:t>IT: TF 1B_55/2023 del 16 febbraio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recourant, prévenu détenu, a qualité pour recourir et l'arrêt attaqué en tant que décision incidente peut lui causer un préjudice irréparable au sens de l' art. 93 al. 1 let. a LTF . Le recours a été formé en temps utile ( art. 100 al. 1 LTF ) contre une décision prise en dernière instance cantonale ( art. 80 LTF ) et les conclusions présentées sont recevables au regard de l' art. 107 al. 2 LTF .</w:t>
      </w:r>
    </w:p>
    <w:p>
      <w:r>
        <w:t>Partant, il y a lieu d'entrer en matière.</w:t>
      </w:r>
    </w:p>
    <w:p>
      <w:r>
        <w:rPr>
          <w:b/>
        </w:rPr>
        <w:t>E. 2</w:t>
      </w:r>
    </w:p>
    <w:p>
      <w:r>
        <w:t>Le recourant ne conteste pas en soi les faits qui lui sont reprochés, dont l'usage d'une arme à feu; il soutient en revanche que ceux-ci auraient été réalisés en état de légitime défense, ce qui, au regard du principe de proportionnalité, ne justifierait donc pas son maintien en détention provisoire. A l'appui de ses griefs, le recourant se plaint notamment d'un établissement et d'une appréciation arbitraires des faits de la part de l'autorité précédente.</w:t>
      </w:r>
    </w:p>
    <w:p>
      <w:r>
        <w:rPr>
          <w:b/>
        </w:rPr>
        <w:t>E. 2.1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316 consid. 3.1 et 3.2 p. 318 s.).</w:t>
      </w:r>
    </w:p>
    <w:p>
      <w:r>
        <w:t>Il incombe en effet au juge du fond de résoudre les questions de qualification juridique des faits poursuivis, d'apprécier la culpabilité du prévenu, ainsi que la valeur probante des moyens de preuve et/ou autres déclarations (arrêt 1B_549/2021 du 21 octobre 2021 consid. 3). Le juge de la détention ne tient donc en principe pas compte d'un alibi, sous réserve de sa démonstration par une preuve immédiatement disponible ( ATF 143 IV 330 consid. 2.1 p. 333 s.). Il en va de même en matière de motifs justificatifs; ils ne sont ainsi pris en considération, dans le cadre de la détention avant jugement, que si leur réalisation ressort de manière hautement vraisemblable du dossier d'instruction (arrêts 1B_231/2019 du 4 juin 2019 consid. 3; 1B_180/2014 du 10 juin 2014 consid. 3.3 et les arrêts cités).</w:t>
      </w:r>
    </w:p>
    <w:p>
      <w:r>
        <w:rPr>
          <w:b/>
        </w:rPr>
        <w:t>E. 2.2</w:t>
      </w:r>
    </w:p>
    <w:p>
      <w:r>
        <w:t>En l'espèce, l'essentiel de l'argumentation du recourant tend à démontrer que ses coups de feu auraient été tirés uniquement en réaction aux agissements des "C.________" et aux tirs effectués par E.________ (C1), lequel l'aurait notamment touché (cf. le rapport de police du 27 mai 2022 ad 00h19:03 [le recourant "est clairement la cible de (C1) "; le recourant "n'était pas dans l'axe de la porte et la vitrine du bar ne présentant aucun impact, nous en concluons que le tir fait mouche"]).</w:t>
      </w:r>
    </w:p>
    <w:p>
      <w:r>
        <w:t>Contrairement à ce que soutient le recourant, les circonstances entourant les coups de feu, qui ne sont certes pas rapportées secondes par secondes dans l'arrêt attaqué, n'ont pas été ignorées de l'autorité précédente : elle a ainsi indiqué que, préalablement à l'arrivée des "N.________" dans l'établissement, N3 s'était muni d'une chope, E.________ (C1) avait sorti une arme à feu et D.________ (C2) avait brandi un spray irritant (cf. points 2 et 4 ad let. B/c p. 3 de l'arrêt attaqué; ad i, ii, iii p. 12 et 1 p. 14 du recours et ad ii p. 2 des observations du 13 février 2023); elle a ensuite relevé que le recourant n'était entré dans le bar que dans un deuxième temps (cf. point 5 ad let. B/c p. 3 de l'arrêt attaqué; ad iv p. 12 et ad i p. 13 du recours); puis, elle a constaté que le premier tir avait été perpétré par E.________ (C1) en direction des "N.________" (cf. point 8 ad let. B/c p. 3 de l'arrêt attaqué; ad vi, vii, viii et iii p. 13 du recours et ad iii p. 2 des observations du 13 février 2023); enfin, elle a relevé que c'était à l'intérieur de l'établissement (cf. point 5 ad let. B/c p. 3 de l'arrêt attaqué) que le recourant avait sorti son arme pour tirer par deux fois contre E.________ (C1; cf. point 9 ad let. B/c p. 3 de l'arrêt attaqué; ad ix, iv p. 13, v, vii, viii, ix et 2 p. 14 du recours ainsi qu'ad i et iv p. 2 des observations du 13 février 2023).</w:t>
      </w:r>
    </w:p>
    <w:p>
      <w:r>
        <w:t>La Chambre pénale a cependant considéré, à juste titre, que ce déroulement des faits ne permettait pas de déterminer quel groupe avait menacé l'autre en premier, respectivement de retenir que le recourant n'aurait eu qu'un geste défensif. A l'appui de cette constatation, elle a relevé les éléments suivants : le recourant avait lui-même déclaré s'être rendu à "U.________" afin de demander aux "C.________" de ne pas porter leurs couleurs à Z.________; pour ce faire, il s'était muni, pour le moins, d'une arme à feu prête à l'emploi; il semblait de plus qu'au moins neuf membres des "N.________" auraient décidé de se rendre à cet endroit, ce qui, pour la police, pourrait s'apparenter à une expédition punitive; enfin, F.________ était entré dans l'établissement masqué et ganté, effrayant notamment les serveurs. A ce stade, on ne saurait donc se suffire de l'ordre des tirs et ignorer ces circonstances antérieures [...] qui permettent de supposer un enchaînement plus complexe des faits que ne voudrait le faire croire le recourant. Il appartiendra donc au juge du fond d'apprécier dans quelle mesure il peut se prévaloir d'un état de légitime défense en raison d'une situation dont il ne semblait pas ignorer la possible escalade vu l'arme prête à l'emploi dont il s'était munie, respectivement du choix opéré de poursuivre leur "action" alors même que F.________ (N1) était entré et pourrait avoir vu l'arme de E.________ (C1) pointé dans sa direction.</w:t>
      </w:r>
    </w:p>
    <w:p>
      <w:r>
        <w:t>Partant, la Chambre pénale n'a pas procédé de manière arbitraire ou en violation du principe de proportionnalité en considérant que, dans le cadre de l'examen de la détention provisoire, un motif justificatif n'entrait pas en ligne de compte dans le cas d'espèce.</w:t>
      </w:r>
    </w:p>
    <w:p>
      <w:r>
        <w:rPr>
          <w:b/>
        </w:rPr>
        <w:t>E. 3</w:t>
      </w:r>
    </w:p>
    <w:p>
      <w:r>
        <w:t>Le recourant soutient qu'il n'existerait aucun risque de collusion, respectivement que celui-ci pourrait être réduit par des mesures de substitution.</w:t>
      </w:r>
    </w:p>
    <w:p>
      <w:r>
        <w:rPr>
          <w:b/>
        </w:rPr>
        <w:t>E. 3.1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Selon la jurisprudence, il peut notamment y avoir collusion lorsque le prévenu tente d'influencer les déclarations que pourraient faire des témoins, des personnes appelées à donner des renseignements, des experts et/ou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p. 127 s.; 132 I 21 consid. 3.2 p. 23; arrêts 1B_15/2023 du 24 janvier 2023 consid. 3.1; 1B_250/2022 du 28 juin 2022 consid. 3.1).</w:t>
      </w:r>
    </w:p>
    <w:p>
      <w:r>
        <w:t>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 ATF 137 IV 122 consid. 4.2 p. 128; 132 I 21 consid. 3.2.1 p. 23 s.). Plus l'instruction se trouve à un stade avancé et les faits sont établis avec précision, plus les exigences relatives à la preuve de l'existence d'un risque de collusion sont élevées ( ATF 137 IV 122 consid. 4.2 p. 128; 132 I 21 consid. 3.2.2 p. 24; arrêts 1B_15/2023 du 24 janvier 2023 consid. 3.1; 1B_250/2022 du 28 juin 2022 consid. 3.1).</w:t>
      </w:r>
    </w:p>
    <w:p>
      <w:r>
        <w:rPr>
          <w:b/>
        </w:rPr>
        <w:t>E. 3.2</w:t>
      </w:r>
    </w:p>
    <w:p>
      <w:r>
        <w:t>La cour cantonale a relevé que l'instruction, débutée il y avait sept mois, était conduite sans désemparer. Selon l'autorité précédente, l'altercation ne semblait pas avoir concerné uniquement le recourant, F.________ (N1), E.________ (C1) et D.________ (C2), mais également des tiers [...]; des recherches concrètes [...] étaient encore entreprises à cette fin. La cour cantonale a donc estimé qu'il convenait que le recourant ne puisse pas entrer en contact avec les personnes impliquées [...] afin d'influencer leurs déclarations et de compromettre ainsi la recherche de la vérité [...].</w:t>
      </w:r>
    </w:p>
    <w:p>
      <w:r>
        <w:rPr>
          <w:b/>
        </w:rPr>
        <w:t>E. 3.3</w:t>
      </w:r>
    </w:p>
    <w:p>
      <w:r>
        <w:t>Ce raisonnement ne prête pas le flanc à la critique et l'existence d'un risque de collusion, qui peut-être ne concerne eu égard au recourant que les membres des "N.________", doit encore être admise à ce stade de l'instruction.</w:t>
      </w:r>
    </w:p>
    <w:p>
      <w:r>
        <w:t>On ne peut en effet ignorer les circonstances particulières d'espèce, à savoir l'appartenance du recourant aux "N.________"; le recourant pourrait être tenté de protéger ses "frères" - notamment ceux dont l'identité est encore inconnue -, y compris à son détriment. Il se peut certes qu'entre le jour de l'événement (22 mai 2022) et l'interpellation du recourant (30 mai 2022), certaines des personnes impliquées aient déjà pu accorder leurs versions, respectivement que ces dernières aient pu apprendre certains éléments de l'enquête par le biais des médias. Cela étant, le recourant ne prétend pas que l'enquête piétinerait et/ou que [la mesure d'enquête en cours] ne serait pas à même d'apporter des éléments supplémentaires [...]. On ne saurait pas non plus d'emblée exclure qu'ensuite, confronté à ces résultats, le recourant pourrait être amené à préciser - voire à modifier - ses déclarations. Partant, à ce stade, il existe encore un important risque de collusion.</w:t>
      </w:r>
    </w:p>
    <w:p>
      <w:r>
        <w:t>L'existence d'un seul motif au sens de l' art. 221 al. 1 CPP étant suffisant pour confirmer la détention provisoire ordonnée à l'encontre du recourant, il n'y a pas lieu d'examiner si un danger de fuite et/ou de récidive pourrait entrer en considération, ainsi que l'a retenu le Tmc dans la décision à l'origine de la présente cause (cf. let. d p. 7 de l'arrêt attaqué).</w:t>
      </w:r>
    </w:p>
    <w:p>
      <w:r>
        <w:rPr>
          <w:b/>
        </w:rPr>
        <w:t>E. 3.4</w:t>
      </w:r>
    </w:p>
    <w:p>
      <w:r>
        <w:t>Conformément au principe de la proportionnalité ( art. 36 al. 3 Cst. ), il convient d'examiner les possibilités de mettre en oeuvre d'autres solutions moins dommageables que la détention. Cette exigence est concrétisée par les art. 197 al. 1 let . c et 237 al. 1 CPP.</w:t>
      </w:r>
    </w:p>
    <w:p>
      <w:r>
        <w:t>Cette dernière disposition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p. 509 s.). Pour surveiller l'exécution de ces mesures, le tribunal peut ordonner l'utilisation d'appareils techniques qui peuvent être fixés à la personne sous surveillance ( art. 237 al. 3 CPP ).</w:t>
      </w:r>
    </w:p>
    <w:p>
      <w:r>
        <w:t>Comme l'a relevé l'autorité précédente, aucune des mesures proposées n'apparaît adéquate pour pallier le danger de collusion retenu. Le recourant - déjà condamné en 1995 pour meurtre par la Cour de cassation pénale du canton de Vaud (cf. ad let. C p. 7 de l'arrêt attaqué) - encourt vraisemblablement une importante peine privative de liberté dans la présente procédure vu les graves chefs de prévention retenus à son encontre. Au regard de cette perspective et de ses liens - notamment de loyauté - avec les autres membres des "N.________" (cf. d'ailleurs p. 22 de son recours), sa seule volonté de se soumettre à des mesures de substitution n'apporte aucune assurance qu'il respectera ses engagements; en particulier, elle ne permet pas de retenir que le recourant ferait primer ses propres intérêts sur ceux de ses "frères". Des interdictions de contact paraissent d'ailleurs d'autant moins pertinentes que certains des participants n'ont pas été identifiés; il en va de même des interdictions de périmètre préconisées, étant difficilement prévisible d'anticiper la mobilité d'un groupe de motards. Sachant que l'absence d'autorisation n'a pas empêché le recourant de détenir une arme à feu depuis 2014 ou 2015, ainsi que de la porter lors de certaines de ses sorties - respectivement de l'utiliser lors des événements ayant conduit à la présente procédure -, on ne voit pas quelle garantie apporterait une interdiction d'acquisition ou de port d'arme, laquelle peut au demeurant difficilement être contrôlée. Enfin, le recourant, qui sollicite l'octroi de l'assistance judiciaire faute de ressources financières suffisantes, n'apporte aucune explication quant à l'origine du montant des 10'000 fr. proposés à titre de sûretés (sur cette notion, arrêts 1B_610/2022 du 19 décembre 2022 consid. 2.1; 1B_431/2022 du 2 septembre 2022 consid. 2.3); ce type de mesure tend au demeurant généralement à prévenir un risque de fuite (cf. art. 238 CPP ).</w:t>
      </w:r>
    </w:p>
    <w:p>
      <w:r>
        <w:t>Pour ces mêmes motifs - dont la peine encourue et son antécédent -, la situation du recourant ne saurait être comparée à celle de F.________ (N1), prévenu de rixe (cf. art. 133 CP ), certes libéré moyennant des mesures de substitution. Le recourant ne se plaint enfin pas que la durée de la détention provisoire subie excéderait la peine concrètement encourue dans le présent cas.</w:t>
      </w:r>
    </w:p>
    <w:p>
      <w:r>
        <w:t>Partant, la Chambre pénale n'a pas violé le droit fédéral en confirmant le rejet de la demande de libération formée le 25 novembre 2022 par le recourant, faute de mesures de substitution propres à réduire le danger de collusion retenu.</w:t>
      </w:r>
    </w:p>
    <w:p>
      <w:r>
        <w:rPr>
          <w:b/>
        </w:rPr>
        <w:t>E. 4</w:t>
      </w:r>
    </w:p>
    <w:p>
      <w:r>
        <w:t>Le recours est rejeté.</w:t>
      </w:r>
    </w:p>
    <w:p>
      <w:r>
        <w:t>Le recourant a demandé l'octroi de l'assistance judiciaire ( art. 64 al. 1 LTF ). Son recours n'était pas d'emblée dénué de chances de succès et cette requête doit être admise. Il y a lieu de désigner Me Yaël Hayat en tant qu'avocate d'office du recourant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