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55/2016 vom 16. Februar 2016</w:t>
      </w:r>
    </w:p>
    <w:p>
      <w:r>
        <w:t>Bundesgericht, 2016-02-16, DE</w:t>
      </w:r>
    </w:p>
    <w:p>
      <w:r>
        <w:rPr>
          <w:b/>
        </w:rPr>
        <w:t xml:space="preserve">Quelle: </w:t>
      </w:r>
      <w:r>
        <w:t>https://mcp.opencaselaw.ch/entscheid/bger_1B_55_2016</w:t>
      </w:r>
    </w:p>
    <w:p>
      <w:r>
        <w:t>FR: TF 1B 55/2016 du 16 février 2016</w:t>
      </w:r>
    </w:p>
    <w:p>
      <w:r>
        <w:t>IT: TF 1B 55/2016 del 16 febbraio 2016</w:t>
      </w:r>
    </w:p>
    <w:p>
      <w:pPr>
        <w:pStyle w:val="Heading2"/>
      </w:pPr>
      <w:r>
        <w:t>Regeste</w:t>
      </w:r>
    </w:p>
    <w:p>
      <w:r>
        <w:t>Strafverfahren | Strafprozess</w:t>
      </w:r>
    </w:p>
    <w:p>
      <w:pPr>
        <w:pStyle w:val="Heading2"/>
      </w:pPr>
      <w:r>
        <w:t>Erwägungen</w:t>
      </w:r>
    </w:p>
    <w:p>
      <w:r>
        <w:rPr>
          <w:b/>
        </w:rPr>
        <w:t>E. 1</w:t>
      </w:r>
    </w:p>
    <w:p>
      <w:r>
        <w:t>Die Regionale Staatsanwaltschaft Bern-Mittelland führt gegen B.________ ein Strafverfahren wegen übler Nachrede. Die Staatsanwaltschaft setzte den Parteien gemäss Art. 318 StPO Frist, um Beweisanträge zu stellen. Mit Verfügung vom 26. November 2015 genehmigte der zuständige Staatsanwalt das vom Beschuldigten gestellte Fristverlängerungsgesuch und nahm von der Eingabe des Straf- und Zivilklägers A.________ vom 23. November 2015 Kenntnis. Weiter stellte er fest, dass letzterer die hängige Strafanzeige bei 13 verschiedenen Staatsanwälten eingereicht habe, und teilte mit, dass von diesen Eingaben nur ein Exemplar zu den Akten genommen und der Rest nach Ablauf der Beschwerdefrist entsorgt werde. A.________ wandte sich mit einer als Beschwerde bezeichneten Eingabe vom 5. Dezember 2015 an die Beschwerdekammer in Strafsachen des Obergerichts des Kantons Bern. Die Beschwerdekammer in Strafsachen teilte ihm am 10. Dezember 2015 mit, dass sich eine Beschwerde gegen ein konkretes Beschwerdeobjekt richten müsse. Sie gab ihm Gelegenheit, innert 10 Tagen mitzuteilen, ob er allenfalls die Verfügung der Staatsanwaltschaft vom 26. November 2015 anfechten wolle. Diesfalls müsse er darlegen, inwiefern die Verfügung fehlerhaft sei bzw. welche Gründe einen anderen Entscheid nahe legen würde. A.________ teilte am 19. Dezember 2015 der Beschwerdekammer in Strafsachen mit, dass er gegen die Verfügung der Staatsanwaltschaft vom 26. November 2015 Beschwerde erhebe. Die Beschwerdekammer in Strafsachen des Obergerichts des Kantons Bern trat mit Beschluss vom 30. Dezember 2015 auf die Beschwerde nicht ein. Zur Begründung führt sie zusammenfassend aus, dass in der Beschwerde kein Bezug auf die angefochtene Verfügung genommen werde. Der Beschwerdeführer rüge sinngemäss eine unrichtige bzw. unvollständige Sachverhaltsfeststellung. Eine solche Rüge könne erst gegen eine allfällige Einstellungsverfügung vorgebracht werden.</w:t>
      </w:r>
    </w:p>
    <w:p>
      <w:r>
        <w:rPr>
          <w:b/>
        </w:rPr>
        <w:t>E. 2</w:t>
      </w:r>
    </w:p>
    <w:p>
      <w:r>
        <w:t>A.________ führt mit Eingabe vom 11. Februar 2016 Beschwerde in Strafsachen gegen den Beschluss der Beschwerdekammer in Strafsachen des Obergerichts des Kantons Bern vom 30. Dezember 2015.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der Begründung der Beschwerdekammer, die zum Nichteintreten auf seine Beschwerde führte, nicht auseinander. Mit seiner appellatorischen Kritik vermag der Beschwerdeführer nicht aufzuzeigen, inwiefern die Begründung der Beschwerdekammer bzw. deren Beschluss selbst rechts- bzw. verfassungswidrig sein soll. Die Beschwerde genügt den gesetzlichen Formerfordernissen offensichtlich nicht, weshalb auf sie im vereinfachten Verfahren nach Art. 108 Abs. 1 BGG nicht einzutreten ist. Somit kann offen bleiben, ob es sich beim angefochtenen Beschluss um einen anfechtbaren Zwischenentscheid im Sinne von Art. 93 Abs. 1 BGG handelt.</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