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55/2012 vom 10. April 2012</w:t>
      </w:r>
    </w:p>
    <w:p>
      <w:r>
        <w:t>Bundesgericht, 2012-04-10, DE</w:t>
      </w:r>
    </w:p>
    <w:p>
      <w:r>
        <w:rPr>
          <w:b/>
        </w:rPr>
        <w:t xml:space="preserve">Quelle: </w:t>
      </w:r>
      <w:r>
        <w:t>https://mcp.opencaselaw.ch/entscheid/bger_1B_55_2012</w:t>
      </w:r>
    </w:p>
    <w:p>
      <w:r>
        <w:t>FR: TF 1B 55/2012 du 10 avril 2012</w:t>
      </w:r>
    </w:p>
    <w:p>
      <w:r>
        <w:t>IT: TF 1B 55/2012 del 10 aprile 2012</w:t>
      </w:r>
    </w:p>
    <w:p>
      <w:pPr>
        <w:pStyle w:val="Heading2"/>
      </w:pPr>
      <w:r>
        <w:t>Regeste</w:t>
      </w:r>
    </w:p>
    <w:p>
      <w:r>
        <w:t>Verletzung des Berufsgeheimnisses/Nichtanhandnahme | Strafprozess</w:t>
      </w:r>
    </w:p>
    <w:p>
      <w:pPr>
        <w:pStyle w:val="Heading2"/>
      </w:pPr>
      <w:r>
        <w:t>Erwägungen</w:t>
      </w:r>
    </w:p>
    <w:p>
      <w:r>
        <w:rPr>
          <w:b/>
        </w:rPr>
        <w:t>E. 1</w:t>
      </w:r>
    </w:p>
    <w:p>
      <w:r>
        <w:t>Der Beschluss der Strafabteilung, Beschwerdekammer in Strafsachen des Obergerichts, mit dem die Nichtanhandnahme der Staatsanwaltschaft bestätigt worden ist, ist ein kantonal letztinstanzlicher Entscheid in Strafsachen im Sinne von Art. 78 Abs. 1 und Art. 80 Abs. 1 BGG . Demnach ist die Beschwerde in Strafsachen zulässig.</w:t>
      </w:r>
    </w:p>
    <w:p>
      <w:r>
        <w:rPr>
          <w:b/>
        </w:rPr>
        <w:t>E. 2</w:t>
      </w:r>
    </w:p>
    <w:p>
      <w:r>
        <w:t>Zur Beschwerde in Strafsachen ist gemäss Art. 81 Abs. 1 lit. b BGG legitimiert, wer ein rechtlich geschütztes Interesse an der Aufhebung oder Änderung des angefochtenen Entscheids hat, insbesondere die Privatklägerschaft, wenn der angefochtene Entscheid sich auf die Beurteilung ihrer Zivilansprüche auswirken kann (Ziff. 5). Voraussetzung der Legitimation der Privatklägerschaft nach Art. 81 Abs. 1 lit. b Ziff. 5 BGG ist, dass sich der angefochtene Entscheid auf die Beurteilung der Zivilansprüche auswirken kann. Es wird grundsätzlich verlangt, dass die Zivilansprüche im Strafverfahren geltend gemacht werden. Im Falle der Einstellung des Strafverfahrens oder gar im Falle von Nichtanhandnahme reicht es indes aus, dass im Verfahren vor Bundesgericht gemäss den Anforderungen von Art. 42 Abs. 2 BGG dargelegt wird, aus welchen Gründen und inwiefern sich der angefochtene Entscheid auf Zivilforderungen auswirken kann. Darauf kann allenfalls verzichtet werden, wenn sich solche Auswirkungen aufgrund der Natur der in Frage stehenden Straftat ohne Weiteres aus den Akten ergeben (vgl. BGE 137 IV 219 E. 2.4 S. 222; 137 IV 246 E. 1.3.1 S. 248; je mit weitern Hinweisen). In seiner Beschwerde begründet der Beschwerdeführer die möglichen Auswirkungen des angefochtenen Entscheids auf Zivilforderungen nicht. Er begnügt sich mit der Bemerkung, dass sich die vorliegende Angelegenheit direkt auf zivilrechtliche Ansprüche auswirke und dass solche bereits in der Strafanzeige/Strafklage geltend gemacht worden seien. In der Strafanzeige/Strafklage sind keine Hinweise auf mögliche Zivilforderungen zu finden. Der Beschwerdeführer führte damals lediglich aus, er mache zivilrechtliche Ansprüche gegenüber dem Beschwerdegegner geltend und werde seine Ansprüche in einem späteren Zeitpunkt substanziieren. Damit wird das Legitimationserfordernis der möglichen Auswirkungen auf Zivilansprüche nicht in einer den Anforderungen von Art. 42 Abs. 2 BGG dargelegt. Darüber hinaus ist auch in keiner Weise ersichtlich, welche Zivilforderungen der Beschwerdeführer gegenüber dem Beschwerdegegner in einem Strafverfahren wegen Verletzung des Berufsgeheimnisses geltend machen könnte. Denn es ist davon auszugehen, dass die allfällige Berufsgeheimnisverletzung in erster Linie die Mutter des Beschwerdeführers treffen würde, dass diese Verletzung erst nach deren Tod begangen worden ist und der Beschwerdeführer als Erbe nicht ohne Weiteres Genugtuungsforderungen wegen der angeblichen Berufsgeheimnisverletzung stellen könnte. Somit fehlt es an der Legitimation im Sinne von Art. 81 Abs. 1 lit. b Ziff. 5 BGG.</w:t>
      </w:r>
    </w:p>
    <w:p>
      <w:r>
        <w:rPr>
          <w:b/>
        </w:rPr>
        <w:t>E. 3</w:t>
      </w:r>
    </w:p>
    <w:p>
      <w:r>
        <w:t>Demnach ist auf die Beschwerde nicht einzutreten. Bei diesem Ausgang des Verfahrens sind die bundesgerichtlichen Kosten dem Beschwerdeführer aufzuerlegen ( Art. 66 Abs. 1 BGG ). Dieser hat den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