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1B_55/2007 vom 2. Mai 2007</w:t>
      </w:r>
    </w:p>
    <w:p>
      <w:r>
        <w:t>Bundesgericht, 2007-05-02, DE</w:t>
      </w:r>
    </w:p>
    <w:p>
      <w:r>
        <w:rPr>
          <w:b/>
        </w:rPr>
        <w:t xml:space="preserve">Quelle: </w:t>
      </w:r>
      <w:r>
        <w:t>https://mcp.opencaselaw.ch/entscheid/bger_1B_55_2007</w:t>
      </w:r>
    </w:p>
    <w:p>
      <w:r>
        <w:t>FR: TF 1B_55/2007 du 2 mai 2007</w:t>
      </w:r>
    </w:p>
    <w:p>
      <w:r>
        <w:t>IT: TF 1B_55/2007 del 2 maggio 2007</w:t>
      </w:r>
    </w:p>
    <w:p>
      <w:pPr>
        <w:pStyle w:val="Heading2"/>
      </w:pPr>
      <w:r>
        <w:t>Erwägungen</w:t>
      </w:r>
    </w:p>
    <w:p>
      <w:r>
        <w:rPr>
          <w:b/>
        </w:rPr>
        <w:t>E. 1</w:t>
      </w:r>
    </w:p>
    <w:p>
      <w:r>
        <w:t>Der Beschwerdeführer macht geltend, sein Anspruch auf rechtliches Gehör sei verletzt, weil ihm die Stellungnahme der Staatsanwaltschaft II des Kantons Zürich nicht zugestellt worden sei. Bis zum Erhalt der haftrichterlichen Verfügung habe er keine Kenntnis von dieser Stellungnahme und damit keine Möglichkeit gehabt, dazu Stellung zu nehmen.</w:t>
      </w:r>
    </w:p>
    <w:p>
      <w:r>
        <w:rPr>
          <w:b/>
        </w:rPr>
        <w:t>E. 1.1</w:t>
      </w:r>
    </w:p>
    <w:p>
      <w:r>
        <w:t>Aus Art. 29 Abs. 2 BV ergibt sich der Anspruch der Verfahrenspartei, in alle für den Entscheid wesentlichen Akten Einsicht zu nehmen und sich dazu zu äussern. Den Gerichten ist es nicht gestattet, einer Partei das Äusserungsrecht zu eingegangenen Stellungnahmen bzw. Vernehmlassungen der übrigen Verfahrensparteien, unteren Instanzen und weiteren Stellen abzuschneiden. Die Partei ist vom Gericht nicht nur über den Eingang dieser Eingaben zu orientieren; sie muss ausserdem die Möglichkeit zur Replik haben (zur Publikation vorgesehene Urteile des Bundesgerichts 1A.10/2006 vom 14. Dezember 2006, E. 2.1, und 1A.56/2006 vom 11. Januar 2007, E. 4).</w:t>
      </w:r>
    </w:p>
    <w:p>
      <w:r>
        <w:rPr>
          <w:b/>
        </w:rPr>
        <w:t>E. 1.2</w:t>
      </w:r>
    </w:p>
    <w:p>
      <w:r>
        <w:t>Aus der angefochtenen Verfügung geht hervor, dass sich die Staatsanwaltschaft II des Kantons Zürich zum Gesuch des Beschwerdeführers vernehmen liess. Der Haftrichter des Bezirksgerichts Zürich liess diese Vernehmlassung vom 30. März 2007 dem Beschwerdeführer vor seinem Entscheid über das Gesuch um vorzeitigen Strafantritt nicht zur Kenntnisnahme zukommen. Damit nahm er dem Beschwerdeführer die Möglichkeit, sich allenfalls zu dieser Vernehmlassung zu äussern, und verletzte dessen Anspruch auf rechtliches Gehör.</w:t>
      </w:r>
    </w:p>
    <w:p>
      <w:r>
        <w:rPr>
          <w:b/>
        </w:rPr>
        <w:t>E. 2</w:t>
      </w:r>
    </w:p>
    <w:p>
      <w:r>
        <w:t>Somit ist die angefochtene Verfügung aufzuheben. Kosten sind bei diesem Ausgang des Verfahrens keine zu erheben ( Art. 66 Abs. 4 BGG ). Hingegen hat der Kanton Zürich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