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1B_554/2020 vom 18. November 2020</w:t>
      </w:r>
    </w:p>
    <w:p>
      <w:r>
        <w:t>Bundesgericht, 2020-11-18, FR</w:t>
      </w:r>
    </w:p>
    <w:p>
      <w:r>
        <w:rPr>
          <w:b/>
        </w:rPr>
        <w:t xml:space="preserve">Quelle: </w:t>
      </w:r>
      <w:r>
        <w:t>https://mcp.opencaselaw.ch/entscheid/bger_1B_554_2020</w:t>
      </w:r>
    </w:p>
    <w:p>
      <w:r>
        <w:t>FR: TF 1B_554/2020 du 18 novembre 2020</w:t>
      </w:r>
    </w:p>
    <w:p>
      <w:r>
        <w:t>IT: TF 1B_554/2020 del 18 novembre 2020</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L'accusé a qualité pour agir en vertu de l'art. 81 al. 1 let. a et let. b ch. 1 LTF.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conteste pas que les conditions de la détention énumérées à l' art. 221 CPP sont remplies, en particulier l'existence d'un risque de récidive retenu par l'instance précédente. Il fait en revanche grief à l'instance précédente d'avoir confirmé le bien-fondé de la révocation des mesures de substitution en vigueur prolongées le 14 septembre 2020, en violation des art. 237 al. 5 CPP , 388 et 226 al. 5 CPP.</w:t>
      </w:r>
    </w:p>
    <w:p>
      <w:r>
        <w:rPr>
          <w:b/>
        </w:rPr>
        <w:t>E. 2.1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Conformément à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Dans ces deux cas, de nouveaux développements sont nécessaires (arrêt 1B_173/2013 du 29 mai 2013 consid. 4.2).</w:t>
      </w:r>
    </w:p>
    <w:p>
      <w:r>
        <w:rPr>
          <w:b/>
        </w:rPr>
        <w:t>E. 2.2</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w:t>
      </w:r>
    </w:p>
    <w:p>
      <w:r>
        <w:rPr>
          <w:b/>
        </w:rPr>
        <w:t>E. 2.3</w:t>
      </w:r>
    </w:p>
    <w:p>
      <w:r>
        <w:t>En l'espèce, confirmant l'appréciation du Tmc, le Tribunal cantonal a estimé que les mesures de substitution ordonnées le 18 mars 2020 et prolongées le 14 septembre suivant, devaient être révoquées en application de l' art. 237 al. 5 CPP , dès lors qu'il était manifeste que le recourant n'avait pas respecté les obligations et interdictions qui lui avaient été imposées. La cour cantonale ne voyait au demeurant pas quelles autres mesures pourraient être ordonnées pour parer au risque retenu (cf. arrêt entrepris consid. 6.2).</w:t>
      </w:r>
    </w:p>
    <w:p>
      <w:r>
        <w:t>Le recourant conteste l'appréciation de l'instance précédente. Il soutient qu'aucun fait nouveau n'est survenu entre l'ordonnance du Tmc du 14 septembre 2020 prononçant des mesures de substitution et celle du 17 septembre 2020 révoquant lesdites mesures et ordonnant la mise en détention. Se prévalant à cet égard du procès-verbal des opérations, il affirme que les prétendus faits nouveaux qui auraient eu lieu entre juin et début septembre étaient connus du Tmc. A le suivre, la décision attaquée retient de manière arbitraire que le Tmc n'aurait pas eu connaissance des faits survenus depuis le mois de juin 2020 lorsqu'il a statué le 14 septembre 2020.</w:t>
      </w:r>
    </w:p>
    <w:p>
      <w:r>
        <w:t>Comme le relève le recourant, le procès-verbal des opérations expose que le 10 septembre 2020 la Procureure a informé la présidente du Tmc que le prévenu "a été placé sous mandat d'arrêt, celui-ci ayant une nouvelle fois violé les mesures de substitution selon le courrier de l'avocate de la plaignante". Dans ce document daté du 9 septembre 2020, l'avocate de la plaignante fait état de trois appels téléphoniques en numéros masqués intervenus durant la nuit, les 4 et 6 septembre 2020 [le prévenu aurait imité la plaignante lorsque celle-ci aurait répondu "allô, c'est qui?"], ainsi que du fait que le prévenu se serait trouvé à plusieurs reprises à proximité d'elle en scooter et lui aurait fait des signes, la dernière fois le 4 septembre 2020. Le procès-verbal des opérations indique encore que, le 14 septembre 2020, avant l'audience du Tmc, la Procureure a informé "par téléphone la Présidente du Tmc qu'elle a donné mandat à la police de procéder à l'interpellation de A.________ à l'issue de son audition au Tmc". Par ailleurs, le Ministère public a joint à sa demande de prolongation des mesures des substitution du 4 septembre 2020, le courrier du 8 juillet 2020 de l'avocate de la plaignante faisant état de la boîte en forme de coeur avec deux alliances déposée anonymement devant le domicile de cette dernière, photographie à l'appui.</w:t>
      </w:r>
    </w:p>
    <w:p>
      <w:r>
        <w:rPr>
          <w:b/>
        </w:rPr>
        <w:t>E. 2.4</w:t>
      </w:r>
    </w:p>
    <w:p>
      <w:r>
        <w:t>Les éléments qui précèdent amènent le Tribunal fédéral à compléter d'office les faits ( art. 105 al. 2 LTF ). Ainsi, le Tmc se trouvait lorsqu'il a statué le 14 septembre 2020, en possession des circonstances de fait dénotant la violation par le recourant des mesures de substitution prononcées en mars 2020. Les événements des 4 et 6 septembre 2020, en particulier, avaient été portés à sa connaissance. Dans ces conditions, le Tmc devait recueillir les preuves immédiatement disponibles susceptibles de confirmer ou d'écarter les soupçons et les motifs de détention (art. 225 al. 4 en lien avec l' art. 237 al. 4 CPP ). A ce stade, cette juridiction avait la possibilité d'interroger le prévenu ( art. 227 al. 6 CPP ), mesure facile à exécuter en l'espèce puisqu'une audience en présence du prévenu a eu lieu le 10 septembre 2020. Dans tous les cas, le Tmc ne pouvait pas - sans sombrer dans l'arbitraire - affirmer dans son ordonnance ultérieure du 17 septembre 2020 qu'il n'avait pas eu connaissance des dernières violations des mesures de substitution par l'intéressé lorsqu'il avait statué le 14 septembre 2020.</w:t>
      </w:r>
    </w:p>
    <w:p>
      <w:r>
        <w:t>Dans la mesure où le Ministère public avait, dans sa demande du 4 septembre 2020, conclu à titre subsidiaire à la mise en détention du prévenu, le Tmc aurait donc pu, au vu des éléments de fait précités, statuer dans ce sens après avoir procédé à l'audition du prévenu le 10 septembre 2020 et révoquer les mesures de substitution en vigueur (cf. ATF 142 IV 29 consid. 3.4). En l'occurrence, appelé à statuer sur la demande formulée le lendemain (le 15 septembre 2020) par le Ministère public tendant à la mise en détention provisoire du prévenu, le Tmc ne pouvait alors, à défaut de faits nouveaux ou d'autres violations des mesures de substitution par le recourant, révoquer ces dernières. Selon la jurisprudence, les autorités sont en effet liées par leur appréciation antérieure et ne peuvent pas, sans changement de circonstances, la modifier à leur gré (cf. arrêts 1B_216/2016 du 5 juillet 2016 consid. 4.4 et 1B_473/2012 du 12 septembre 2012 consid. 5; cf. aussi FREI/ZUBERBÜHLER, in Donatsch/Lieber/Summers/ Wohlers [éd.], Kommentar zur Schweizerischen Strafprozessordnung, 3</w:t>
      </w:r>
    </w:p>
    <w:p>
      <w:r>
        <w:t>e éd. 2020, n. 13 ad art. 237 CPP ).</w:t>
      </w:r>
    </w:p>
    <w:p>
      <w:r>
        <w:t>Par conséquent, la cour cantonale ne pouvait, en l'absence d'un changement de circonstances depuis le prononcé de l'ordonnance du Tmc du 14 septembre 2020, confirmer l'ordonnance du 17 septembre 2020 révoquant les mesures de substitution en vigueur et ordonnant la détention provisoire du recourant.</w:t>
      </w:r>
    </w:p>
    <w:p>
      <w:r>
        <w:rPr>
          <w:b/>
        </w:rPr>
        <w:t>E. 3</w:t>
      </w:r>
    </w:p>
    <w:p>
      <w:r>
        <w:t>Il s'ensuit que le recours doit être admis. L'arrêt de la Chambre des recours pénale du 5 octobre 2020 est annulé. Sous réserve de l'existence d'un autre titre de détention, la libération immédiate du recourant, assortie des mesures de substitution à la détention provisoire prononcées par le Tmc dans son ordonnance du 14 septembre 2020, est ordonnée, à charge du Ministère public d'organiser sans délai les modalités de celle-ci. Il convient encore d'attirer avec la plus grande fermeté l'attention du recourant sur le fait que, s'il ne respecte pas les obligations qui lui ont été imposées par le Tmc, celui-ci pourra, le cas échéant, révoquer les mesures de substitution dont il bénéficie et ordonner sa mise en détention.</w:t>
      </w:r>
    </w:p>
    <w:p>
      <w:r>
        <w:t>Conformément à l' art. 214 al. 4 CPP , une copie du présent arrêt sera communiquée à la partie plaignante (cf. ATF 139 IV 121 consid. 5 p. 127 s.; FRANÇOIS CHAIX, in Commentaire romand, Code de procédure pénale suisse, 2</w:t>
      </w:r>
    </w:p>
    <w:p>
      <w:r>
        <w:t>e éd. 2019, n. 14-16 ad art. 214 CPP ;  ULRICH WEDER,   in Donatsch/Lieber/Summers/Wohlers [éd.], Kommentar zur Schweizerischen Strafprozessordnung, 3</w:t>
      </w:r>
    </w:p>
    <w:p>
      <w:r>
        <w:t>e éd. 2020, n. 32 ad art. 214 CPP ).</w:t>
      </w:r>
    </w:p>
    <w:p>
      <w:r>
        <w:rPr>
          <w:b/>
        </w:rPr>
        <w:t>E. 4</w:t>
      </w:r>
    </w:p>
    <w:p>
      <w:r>
        <w:t>Le recourant, qui obtient gain de cause avec l'assistance d'un avocat, a droit à des dépens pour les procédures fédérale et cantonale, à la charge du canton de Vaud ( art. 68 al. 1 et 5 LTF ). Dans ces conditions, sa demande d'assistance judiciaire pour la présente procédure est sans objet. Il n'y a pas lieu de percevoir des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