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1B_553/2020 vom 13. Januar 2021</w:t>
      </w:r>
    </w:p>
    <w:p>
      <w:r>
        <w:t>Bundesgericht, 2021-01-13, DE</w:t>
      </w:r>
    </w:p>
    <w:p>
      <w:r>
        <w:rPr>
          <w:b/>
        </w:rPr>
        <w:t xml:space="preserve">Quelle: </w:t>
      </w:r>
      <w:r>
        <w:t>https://mcp.opencaselaw.ch/entscheid/bger_1B_553_2020</w:t>
      </w:r>
    </w:p>
    <w:p>
      <w:r>
        <w:t>FR: TF 1B_553/2020 du 13 janvier 2021</w:t>
      </w:r>
    </w:p>
    <w:p>
      <w:r>
        <w:t>IT: TF 1B_553/2020 del 13 gennaio 2021</w:t>
      </w:r>
    </w:p>
    <w:p>
      <w:pPr>
        <w:pStyle w:val="Heading2"/>
      </w:pPr>
      <w:r>
        <w:t>Erwägungen</w:t>
      </w:r>
    </w:p>
    <w:p>
      <w:r>
        <w:rPr>
          <w:b/>
        </w:rPr>
        <w:t>E. 1.1</w:t>
      </w:r>
    </w:p>
    <w:p>
      <w:r>
        <w:t>Anfechtungsobjekt ist im vorliegenden Verfahren einzig die Verfügung der Vorinstanz vom 24. September 2020, mit welcher das Gesuch des Beschwerdeführers um unentgeltliche Rechtspflege sowohl mangels Bedürftigkeit ( Art. 136 Abs. 1 lit. a StPO ) als auch wegen Aussichtslosigkeit des Rechtsmittels ( Art. 136 Abs. 1 lit. b StPO ) abgewiesen wurde. Die angefochtene Verfügung stellt einen Zwischenentscheid in einer Strafsache dar, der - soweit der Beschwerdeführer dazu überhaupt legitimiert ist (vgl. Art. 81 Abs. 1 lit. b Ziff. 5 BGG) - nur unter den Voraussetzungen von Art. 93 Abs. 1 BGG beim Bundesgericht angefochten werden kann ( BGE 140 IV 202 E. 2.2 S. 205; 133 IV 335 E. 4 S. 338). Ob diese Voraussetzungen gegeben sind bzw. waren, kann offen bleiben. In der Regel entfalten Zwischenentscheide nur während der Hängigkeit des betreffenden Verfahrens unmittelbare Rechtswirkungen. Mit dem Verfahrensabschluss fallen ihre Wirkungen dahin und werden sie gegenstandslos (Urteile 1B__340/2015 vom 24. November 2015 E. 1.1; 1B_226/2013 vom 30. August 2013 E. 3; 2C_128/2007 vom 17. Oktober 2007 E. 4). Soweit sie sich auf den Inhalt des Endentscheids ausgewirkt haben, können sie unter den Voraussetzungen von Art. 93 Abs. 3 BGG durch Beschwerde gegen den Endentscheid angefochten werden ( BGE 135 III 329 E. 1.2.2 S. 332 f.). Dies ist grundsätzlich dann der Fall, wenn ein Zwischenentscheid beim Bundesgericht angefochten wird, die Vorinstanz jedoch nach der Beschwerdeeinreichung einen Endentscheid erlässt (FELIX UHLMANN, in: Basler Kommentar BGG, 3. Aufl. 2018, N. 28 zu Art. 93 BGG ).</w:t>
      </w:r>
    </w:p>
    <w:p>
      <w:r>
        <w:t>Das Obergericht hat vorliegend am 22. Oktober 2020 den verfahrensabschliessenden Endentscheid gefällt (Nichteintretensentscheid). Nach dem Ausgeführten wurde damit der Zwischenentscheid vom 24. September 2020 hinfällig. Auf die Beschwerde ist daher nicht einzutreten.</w:t>
      </w:r>
    </w:p>
    <w:p>
      <w:r>
        <w:rPr>
          <w:b/>
        </w:rPr>
        <w:t>E. 1.2</w:t>
      </w:r>
    </w:p>
    <w:p>
      <w:r>
        <w:t>Mit dem Nichteintretensentscheid vom 22. Oktober 2020 hat das Obergericht noch vor Ablauf der Rechtsmittelfrist gegen einen Zwischenentscheid einen Endentscheid gefällt, der die Rechtmässigkeit des Zwischenentscheids voraussetzt, über welchen letztinstanzlich noch gar nicht entschieden worden ist. Dieses Vorgehen ist mit Blick auf das Gesetz sowie die Rechtsprechung problematisch, hat aber - wie zu zeigen - keinen Einfluss auf den vorliegenden Verfahrensausgang.</w:t>
      </w:r>
    </w:p>
    <w:p>
      <w:r>
        <w:rPr>
          <w:b/>
        </w:rPr>
        <w:t>E. 1.2.1</w:t>
      </w:r>
    </w:p>
    <w:p>
      <w:r>
        <w:t>Gemäss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 Nach Art. 136 StPO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Die unentgeltliche Rechtspflege für die Privatklägerschaft umfasst insbesondere die Befreiung von Vorschuss- und Sicherheitsleistungen (Abs. 2 lit. a).</w:t>
      </w:r>
    </w:p>
    <w:p>
      <w:r>
        <w:rPr>
          <w:b/>
        </w:rPr>
        <w:t>E. 1.2.2</w:t>
      </w:r>
    </w:p>
    <w:p>
      <w:r>
        <w:t>In Art. 383 Abs. 1 Satz 2 StPO wird somit Art. 136 StPO ausdrücklich vorbehalten, welcher bei gegebenen Voraussetzungen von Vorschuss- und Sicherheitsleistungen befreit (Abs. 2 lit. a). Die Privatklägerschaft kann mithin nur dann zu einer Sicherheitsleistung verpflichtet werden, wenn die Voraussetzungen der unentgeltlichen Rechtspflege nicht erfüllt sind (Urteile 1B_317/2016 vom 27. September 2016 E. 2.3; 1B_325/2016 vom 11. Oktober 2016 E. 3.2). Diese Frage aber, nämlich ob der Beschwerdeführer bedürftig ist ( Art. 136 Abs. 1 lit. a StPO ) bzw. ob die Zivilklage nicht aussichtslos erscheint ( Art. 136 Abs. 1 lit. b StPO ), ist noch nicht letztinstanzlich beurteilt. Die Frist zur Leistung einer Sicherheit ist deshalb in solchen Fällen so anzusetzen, dass sie erst zu laufen beginnt, wenn die gesetzliche Frist von 30 Tagen zur Anfechtung des Zwischenentscheids betreffend Verweigerung der unentgeltlichen Rechtspflege unbenutzt verstrichen ist oder das Bundesgericht eine erhobene Beschwerde abgewiesen hat (zum Ganzen Urteil 1B_340/2015 vom 24. November 2015 E. 1.2). Andernfalls wäre, sofern die Privatklägerschaft nur den Zwischenentscheid nicht aber den Nichteintretensentscheid anficht, eine letztinstanzliche Überprüfung des Anspruchs auf unentgeltliche Rechtspflege der Privatklägerschaft nicht mehr möglich, da der Zwischenentscheid durch den Endentscheid hinfällig wird (vorne E. 1.1). Ob dies mit Art. 383 Abs. 1 Satz 2 i.V.m. Art. 136 StPO vereinbar wäre, kann aus nachfolgenden Gründen offengelassen werden.</w:t>
      </w:r>
    </w:p>
    <w:p>
      <w:r>
        <w:rPr>
          <w:b/>
        </w:rPr>
        <w:t>E. 1.3</w:t>
      </w:r>
    </w:p>
    <w:p>
      <w:r>
        <w:t>Der Beschwerdeführer hat vorliegend sowohl den Zwischenentscheid vom 24. September 2020 als auch den Nichteintretensentscheid vom 22. Oktober 2020 angefochten. Im Beschwerdeverfahren gegen den Nichteintretensentscheid (6B_1287/2020) verweist der Beschwerdeführer zur Begründung vollumfänglich auf seine vorliegende Beschwerdeschrift vom 21. Oktober 2020. Der Nichteintretensentscheid erging zudem, als der Beschwerdeführer die Zwischenverfügung vor Bundesgericht bereits angefochten hatte, die Rechtsmittelfrist gegen die Verfügung vom 24. September 2020 aber noch nicht abgelaufen war. Die Verfügung vom 24. September 2020 hat sich damit auf den Inhalt des Endentscheids vom 22. Oktober 2020 ausgewirkt (vorne E. 1.1; vgl. auch Urteil 1B_340/2015 vom 24. November 2015 E. 1.3). Es wird somit im Beschwerdeverfahren gegen den Endentscheid vom 22. Oktober 2020 - die Legitimation des Beschwerdeführers gemäss Art. 81 Abs. 1 lit. b Ziff. 5 BGG vorausgesetzt - die Rechtmässigkeit der Verpflichtung zu einer Sicherheitsleistung nach Art. 383 StPO zu prüfen und damit gleichzeitig zu beurteilen sein, ob die Vorinstanz die Voraussetzungen der unentgeltlichen Rechtspflege gemäss Art. 136 StPO zu Recht verneint hat. Damit ist der Rechtsschutz des Beschwerdeführers trotz des vorliegenden Nichteintretens auf seine Beschwerde vom 21. Oktober 2020 gewahrt.</w:t>
      </w:r>
    </w:p>
    <w:p>
      <w:r>
        <w:rPr>
          <w:b/>
        </w:rPr>
        <w:t>E. 2</w:t>
      </w:r>
    </w:p>
    <w:p>
      <w:r>
        <w:t>Auf die Beschwerde ist nach dem Gesagten nicht einzutreten. Aufgrund der Umstände ist auf die Erhebung von Gerichtskosten zu verzichten ( Art. 66 Abs. 1 BGG ). Damit wird das Gesuch um unentgeltliche Rechtspflege gegenstandslos.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