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1B_551/2017 vom 11. Mai 2018</w:t>
      </w:r>
    </w:p>
    <w:p>
      <w:r>
        <w:t>Bundesgericht, 2018-05-11, DE</w:t>
      </w:r>
    </w:p>
    <w:p>
      <w:r>
        <w:rPr>
          <w:b/>
        </w:rPr>
        <w:t xml:space="preserve">Quelle: </w:t>
      </w:r>
      <w:r>
        <w:t>https://mcp.opencaselaw.ch/entscheid/bger_1B_551_2017</w:t>
      </w:r>
    </w:p>
    <w:p>
      <w:r>
        <w:t>FR: TF 1B_551/2017 du 11 mai 2018</w:t>
      </w:r>
    </w:p>
    <w:p>
      <w:r>
        <w:t>IT: TF 1B_551/2017 del 11 maggio 2018</w:t>
      </w:r>
    </w:p>
    <w:p>
      <w:pPr>
        <w:pStyle w:val="Heading2"/>
      </w:pPr>
      <w:r>
        <w:t>Erwägungen</w:t>
      </w:r>
    </w:p>
    <w:p>
      <w:r>
        <w:rPr>
          <w:b/>
        </w:rPr>
        <w:t>E. 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Die Beschwerdeführer sind gemäss Art. 81 Abs. 1 BGG zur Beschwerde befugt ( BGE 141 IV 1 E. 1.1 S. 5; 138 IV 78 E. 1.3 S. 80; Urteil 6B_1039/2017 vom 13. März 2018 E. 1.2.2; je mit Hinweisen). Auf ihr Rechtsmittel ist einzutreten.</w:t>
      </w:r>
    </w:p>
    <w:p>
      <w:r>
        <w:rPr>
          <w:b/>
        </w:rPr>
        <w:t>E. 2.1</w:t>
      </w:r>
    </w:p>
    <w:p>
      <w:r>
        <w:t>Die Beschwerdeführer machen vorab geltend, sie lehnten die von der strafrechtlichen Abteilung des Bundesgerichts bestimmte Besetzung des Spruchkörpers wegen eines Verstosses gegen Art. 6 EMRK wegen Besorgnis der Befangenheit ab. Aus der Begründung dieses Verfahrensantrags geht hervor, dass sie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Die Beschwerdeführer machen entgegen dem Wortlaut ihres Antrags nicht die Befangenheit einzelner Richter oder einen sonstigen Ausstandsgrund im Sinne von Art. 34 BGG geltend, sondern kritisieren das Verfahren der Spruchkörperbesetzung. Konkret bringen sie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der Beschwerdeführer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Die Beschwerdeführer rügen eine Verletzung der Begründungspflicht ( Art. 29 Abs. 2 BV ) und des Rechts auf wirksame Beschwerde ( Art. 13 EMRK ). Der angefochtene Beschluss setze sich nicht mit der Frage der Verletzung von Art. 6 EMRK auseinander, was dem Ausstandsgesuch die Wirksamkeit im Sinne von Art. 13 EMRK nehme.</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Die Vorinstanz ist auf die Vorbringen der Beschwerdeführer insofern nicht eingetreten, als diese die Besetzung der Beschwerdekammer ablehnten, ohne konkret darzutun, weshalb der Anschein der Befangenheit gegeben sei. Ihr Entscheid ist in dieser Hinsicht hinreichend begründet. Insofern, als die Beschwerdeführer eine Verletzung des Anspruchs auf den gesetzlichen Richter im Sinne von Art. 30 Abs. 1 BV und Art. 6 Abs. 1 EMRK geltend gemacht hatte, trat die Vorinstanz auf das Gesuch ein und setzte sich mit der beschwerdeführerischen Kritik auch eingehend auseinander. Aus dem angefochtenen Beschluss ist ohne Weiteres ersichtlich, aus welchen Erwägungen sie zum Schluss kam, der Anspruch sei nicht verletzt. Die Begründungspflicht wurde damit erfüllt. Ebenfalls unbegründet ist die Rüge der Missachtung von Art. 13 EMRK . Dass das vorliegende Verfahren dem Beschwerdeführer keine wirksame Beschwerde ermöglichen soll, ist nicht nachvollziehbar. Art. 13 EMRK ist nicht verletzt, nur weil die von Art. 13 EMRK geforderte Beschwerdeinstanz der Rechtsauffassung der Beschwerdeführer nicht folgt.</w:t>
      </w:r>
    </w:p>
    <w:p>
      <w:r>
        <w:rPr>
          <w:b/>
        </w:rPr>
        <w:t>E. 4.1</w:t>
      </w:r>
    </w:p>
    <w:p>
      <w:r>
        <w:t>Die Beschwerdeführer kritisieren,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Der Mangel einer hinreichenden gesetzlichen Grundlage betreffe auch den Einsatz von Oberrichter Niklaus, Geiser und Kiener im Ausstandsverfahren. Es sei insbesondere nicht klar, auf welcher Grundlage Oberrichter Niklaus als Präsident i.V. eingesetzt worden sei.</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Art. 45 Spruchkörper</w:t>
      </w:r>
    </w:p>
    <w:p>
      <w:r>
        <w:t>1 Die Urteilsfindung erfolgt in Dreierbesetzung, soweit das Gesetz nichts anderes bestimmt.</w:t>
      </w:r>
    </w:p>
    <w:p>
      <w:r>
        <w:rPr>
          <w:b/>
        </w:rPr>
        <w:t>E. 4.4</w:t>
      </w:r>
    </w:p>
    <w:p>
      <w:r>
        <w:t>Die Vorinstanz führt aus, Rechtsanwalt Lücke, der eine ganze Reihe von Ausstandsgesuchen in verschiedenen Verfahren eingereicht habe, sei die Anwendung von Art. 44 und 45 GSOG bereits einlässlich erläutert worden. Mit Schreiben vom 25. September 2017 habe ihm Oberrichterin Schnell erklärt, dass sie als Präsidentin der Beschwerdekammer in der Regel sowohl in der Instruktions- als auch in der Entscheidphase beteiligt sei. Welche weiteren Kammermitglieder zum Entscheid beigezogen werden könnten, zeige sich in der Regel erst im Zeitpunkt des Beginns der Zirkulation, weil erst dann sicher sei, wer von den in der Beschwerdekammer tätigen Oberrichtern anwesend und auch tatsächlich verfügbar sei. Mit Schreiben vom 3. Oktober 2017 habe Oberrichterin Schnell festgehalten, dass es keine Listenplätze oder "Excel"-Tabellen gebe und dass sie die Kammerzusammensetzung im betreffenden Verfahren nach dem Kriterium der Verfügbarkeit vorgenommen habe.</w:t>
      </w:r>
    </w:p>
    <w:p>
      <w:r>
        <w:t>In ihrer Vernehmlassung im Verfahren vor Bundesgericht ergänzt die Vorinstanz, Rechtsanwalt Lücke habe im Oktober und im November 2017 bei der Strafabteilung insgesamt 13 Ausstandsgesuche in unterschiedlichen Verfahren eingereicht, was ein koordiniertes Vorgehen erfordert habe. Bei den Oberrichtern Niklaus, Geiser und Kiener habe es sich um die einzigen verbleibenden Mitglieder der Strafkammern gehandelt, die von den Ausstandsbegehren nicht betroffen gewesen seien.</w:t>
      </w:r>
    </w:p>
    <w:p>
      <w:r>
        <w:rPr>
          <w:b/>
        </w:rPr>
        <w:t>E. 4.5</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a.a.O., E. 5-6, insbesondere E. 6.3). Die von den Beschwerdeführern vorgetragene Kritik an den betreffenden Erwägungen, die auch im vorliegenden Verfahren Gültigkeit beanspruchen, gibt keinen Anlass, darauf zurückzukommen.</w:t>
      </w:r>
    </w:p>
    <w:p>
      <w:r>
        <w:rPr>
          <w:b/>
        </w:rPr>
        <w:t>E. 5</w:t>
      </w:r>
    </w:p>
    <w:p>
      <w:r>
        <w:t>Die Beschwerde ist abzuweisen.</w:t>
      </w:r>
    </w:p>
    <w:p>
      <w:r>
        <w:t>Bei diesem Ausgang des Verfahrens sind die Gerichtskosten den Beschwerdeführern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