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1B_551/2011 vom 7. März 2012</w:t>
      </w:r>
    </w:p>
    <w:p>
      <w:r>
        <w:t>Bundesgericht, 2012-03-07, DE</w:t>
      </w:r>
    </w:p>
    <w:p>
      <w:r>
        <w:rPr>
          <w:b/>
        </w:rPr>
        <w:t xml:space="preserve">Quelle: </w:t>
      </w:r>
      <w:r>
        <w:t>https://mcp.opencaselaw.ch/entscheid/bger_1B_551_2011</w:t>
      </w:r>
    </w:p>
    <w:p>
      <w:r>
        <w:t>FR: TF 1B_551/2011 du 7 mars 2012</w:t>
      </w:r>
    </w:p>
    <w:p>
      <w:r>
        <w:t>IT: TF 1B_551/2011 del 7 marzo 2012</w:t>
      </w:r>
    </w:p>
    <w:p>
      <w:pPr>
        <w:pStyle w:val="Heading2"/>
      </w:pPr>
      <w:r>
        <w:t>Erwägungen</w:t>
      </w:r>
    </w:p>
    <w:p>
      <w:r>
        <w:rPr>
          <w:b/>
        </w:rPr>
        <w:t>E. 1</w:t>
      </w:r>
    </w:p>
    <w:p>
      <w:r>
        <w:t>Gemäss Art. 54 Abs. 1 BGG wird das bundesgerichtliche Verfahren in einer der Amtssprachen geführt, in der Regel in der Sprache des angefochtenen Entscheids.</w:t>
      </w:r>
    </w:p>
    <w:p>
      <w:r>
        <w:t>Von dieser Regel abzuweichen besteht hier kein Anlass. Das bundesgerichtliche Urteil wird daher in deutscher Sprache verfasst, auch wenn der Beschwerdeführer die Beschwerde in französischer Sprache eingereicht hat.</w:t>
      </w:r>
    </w:p>
    <w:p>
      <w:r>
        <w:rPr>
          <w:b/>
        </w:rPr>
        <w:t>E. 2.1</w:t>
      </w:r>
    </w:p>
    <w:p>
      <w:r>
        <w:t>Gegen den angefochtenen Entscheid ist gemäss Art. 78 Abs. 1 BGG die Beschwerde in Strafsachen gegeben.</w:t>
      </w:r>
    </w:p>
    <w:p>
      <w:r>
        <w:rPr>
          <w:b/>
        </w:rPr>
        <w:t>E. 2.2</w:t>
      </w:r>
    </w:p>
    <w:p>
      <w:r>
        <w:t>Gemäss Art. 81 Abs. 1 BGG ist zur Beschwerde berechtigt, wer a) vor der Vorinstanz am Verfahren teilgenommen (...) und b) ein rechtlich geschütztes Interesse an der Aufhebung oder Änderung des angefochtenen Entscheids hat, insbesondere die Privatklägerschaft, wenn der angefochtene Entscheid sich auf die Beurteilung ihrer Zivilansprüche auswirken kann (Ziff. 5).</w:t>
      </w:r>
    </w:p>
    <w:p>
      <w:r>
        <w:t>Die Beschwerde muss auch hinsichtlich der Prozessvoraussetzungen hinreichend begründet werden ( Art. 42 Abs. 1 und 2 BGG ). Der Beschwerdeführer muss - wenn das nicht offensichtlich ist - insbesondere darlegen, inwiefern die Legitimationsvoraussetzungen gegeben sein sollen ( BGE 134 II 120 E. 1 S. 121; 133 II 400 E. 2 S. 404; je mit Hinweisen).</w:t>
      </w:r>
    </w:p>
    <w:p>
      <w:r>
        <w:t>Der Beschwerdeführer legt nicht dar, weshalb er nach Art. 81 Abs. 1 lit. b Ziff. 5 BGG zur Beschwerde befugt sein soll.</w:t>
      </w:r>
    </w:p>
    <w:p>
      <w:r>
        <w:t>Dies ist auch nicht offensichtlich. Der Beschwerdeführer hat Zivilansprüche nicht im Strafverfahren geltend gemacht, sondern mit Klage vom 21. Dezember 2010 gegen die Y.________AG beim Zivilgericht. Nach der Rechtsprechung ist in einer derartigen Konstellation die Beschwerdebefugnis zu verneinen, da das Strafverfahren nicht lediglich als Vehikel zur Durchsetzung von Zivilansprüchen in einem Zivilprozess dienen darf (Urteil 6P.178/2004 vom 9. Oktober 2005 E. 3.3 und 4 mit Hinweisen).</w:t>
      </w:r>
    </w:p>
    <w:p>
      <w:r>
        <w:t>Auf die Beschwerde kann daher nicht eingetreten werden.</w:t>
      </w:r>
    </w:p>
    <w:p>
      <w:r>
        <w:rPr>
          <w:b/>
        </w:rPr>
        <w:t>E. 3</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