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1B_54/2021 vom 4. März 2021</w:t>
      </w:r>
    </w:p>
    <w:p>
      <w:r>
        <w:t>Bundesgericht, 2021-03-04, DE</w:t>
      </w:r>
    </w:p>
    <w:p>
      <w:r>
        <w:rPr>
          <w:b/>
        </w:rPr>
        <w:t xml:space="preserve">Quelle: </w:t>
      </w:r>
      <w:r>
        <w:t>https://mcp.opencaselaw.ch/entscheid/bger_1B_54_2021</w:t>
      </w:r>
    </w:p>
    <w:p>
      <w:r>
        <w:t>FR: TF 1B_54/2021 du 4 mars 2021</w:t>
      </w:r>
    </w:p>
    <w:p>
      <w:r>
        <w:t>IT: TF 1B_54/2021 del 4 marzo 2021</w:t>
      </w:r>
    </w:p>
    <w:p>
      <w:pPr>
        <w:pStyle w:val="Heading2"/>
      </w:pPr>
      <w:r>
        <w:t>Erwägungen</w:t>
      </w:r>
    </w:p>
    <w:p>
      <w:r>
        <w:rPr>
          <w:b/>
        </w:rPr>
        <w:t>E. 1</w:t>
      </w:r>
    </w:p>
    <w:p>
      <w:r>
        <w:t>Am 23. November 2020 stellte die Regionale Staatsanwaltschaft Bern-Mittelland das von A.________ gegen B.________ angestrengte Strafverfahren wegen falscher Anschuldigung etc. ein.</w:t>
      </w:r>
    </w:p>
    <w:p>
      <w:r>
        <w:t>A.________ erhob dagegen Beschwerde ans Obergericht des Kantons Bern und ersuchte um unentgeltliche Rechtspflege und Verbeiständung.</w:t>
      </w:r>
    </w:p>
    <w:p>
      <w:r>
        <w:t>Am 4. Januar 2021 wies das Obergericht das Gesuch um unentgeltliche Rechtspflege und Verbeiständung ab und forderte A.________ auf, innert 30 Tagen eine Prozesskaution von Fr. 2'000.- zu leisten, unter der Androhung, bei Säumnis auf die Beschwerde nicht einzutreten.</w:t>
      </w:r>
    </w:p>
    <w:p>
      <w:r>
        <w:t>Mit Eingabe vom 4. Februar 2021 erhebt A.________ Beschwerde gegen diese obergerichtliche Verfügung.</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Das Obergericht hat im angefochtenen Entscheid zutreffend ausgeführt, nach Art. 136 Abs. 1 StPO sei einem Zivilkläger für die Durchsetzung seiner Zivilansprüche unentgeltliche Rechtspflege zu gewähren, wenn er mittellos sei und die Zivilklage nicht aussichtslos erscheine. Ob der Beschwerdeführer mittellos sei, könne offen bleiben, weil der Strafantrag prima vista verspätet erscheine, die Ausführungen der Staatsanwaltschaft in materieller Hinsicht plausibel seien und vom Beschwerdeführer nicht widerlegt würden.</w:t>
      </w:r>
    </w:p>
    <w:p>
      <w:r>
        <w:t>Der Beschwerdeführer setzt sich damit nicht sachgerecht auseinander. Soweit er darlegt, er sei mittellos, gehen seine Ausführungen an der Sache vorbei, da das Obergericht dies offengelassen hat. In der Sache schildert er im Wesentlichen seine Sicht der Auseinandersetzung mit (u.a.) B.________. Was für Zivilansprüche er gegen sie erheben will und weshalb sie nicht aussichtslos sind - als Privatkläger kann er nach Art. 136 Abs. 1 StPO ausschliesslich für die Durchsetzung seiner Zivilklage unentgeltliche Rechtspflege beanspruchen -, legt er indessen nicht dar. Auf die Beschwerde ist wegen Verletzung der gesetzlichen Begründungspflicht nicht einzutreten, wobei auf die Erhebung von Gerichtskosten ausnahmsweise verzichtet werden kann.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