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1B_549/2019 vom 10. März 2020</w:t>
      </w:r>
    </w:p>
    <w:p>
      <w:r>
        <w:t>Bundesgericht, 2020-03-10, FR</w:t>
      </w:r>
    </w:p>
    <w:p>
      <w:r>
        <w:rPr>
          <w:b/>
        </w:rPr>
        <w:t xml:space="preserve">Quelle: </w:t>
      </w:r>
      <w:r>
        <w:t>https://mcp.opencaselaw.ch/entscheid/bger_1B_549_2019</w:t>
      </w:r>
    </w:p>
    <w:p>
      <w:r>
        <w:t>FR: TF 1B_549/2019 du 10 mars 2020</w:t>
      </w:r>
    </w:p>
    <w:p>
      <w:r>
        <w:t>IT: TF 1B_549/2019 del 10 marzo 2020</w:t>
      </w:r>
    </w:p>
    <w:p>
      <w:pPr>
        <w:pStyle w:val="Heading2"/>
      </w:pPr>
      <w:r>
        <w:t>Erwägungen</w:t>
      </w:r>
    </w:p>
    <w:p>
      <w:r>
        <w:rPr>
          <w:b/>
        </w:rPr>
        <w:t>E. 1</w:t>
      </w:r>
    </w:p>
    <w:p>
      <w:r>
        <w:t>Les trois recours sont formés contre la même décision et contiennent des développements ainsi que des conclusions similaires. Il se justifie dès lors de joindre les causes 1B_549/2019, 1B_550/2019 et 1B_553/2019 pour des motifs d'économie de procédure, et de statuer à leur sujet dans un seul arrêt (cf. art. 24 PCF applicable par analogie vu le renvoi de l' art. 71 LTF ).</w:t>
      </w:r>
    </w:p>
    <w:p>
      <w:r>
        <w:rPr>
          <w:b/>
        </w:rPr>
        <w:t>E. 2</w:t>
      </w:r>
    </w:p>
    <w:p>
      <w:r>
        <w:t>Le Tribunal fédéral examine d'office sa compétence ( art. 29 al. 1 LTF ) et contrôle librement la recevabilité des recours qui lui sont soumis ( ATF 144 II 184 consid. 1 p. 186).</w:t>
      </w:r>
    </w:p>
    <w:p>
      <w:r>
        <w:rPr>
          <w:b/>
        </w:rPr>
        <w:t>E. 2.1</w:t>
      </w:r>
    </w:p>
    <w:p>
      <w:r>
        <w:t>Par l'arrêt attaqué, la cour cantonale a considéré en substance que le conflit sur la légitimité constitutionnelle entre l'Assemblée nationale constituante du Venezuela (ANCV) et l'Assemblée nationale du Venezuela (ANV), respectivement entre le Président élu en mai 2018 (J.________) et le Président par intérim nommé par l'ANV en janvier 2019 (P.________), n'étaient pas de nature à remettre en cause la validité de la constitution de partie plaignante de l'intimée, survenue en février 2018. Ainsi, l'intimée, que ce soit par son nouveau conseil d'administration, nommé par l'ANV en février 2019, ou par sa Représentante judiciaire, en la personne de M.________, nommée en novembre 2018, n'avait pas manifesté la volonté d'abandonner ou de se retirer de la procédure pénale (cf. arrêt entrepris, consid. 6.3 p. 11). Du reste, le risque de divulgation intempestive de pièces du dossier à l'étranger n'était pas fondé, de sorte qu'il n'y avait pas matière en l'état de restreindre, en application de l' art. 108 CPP , l'accès au dossier de l'intimée (cf. arrêt entrepris, consid. 7.2 p. 13).</w:t>
      </w:r>
    </w:p>
    <w:p>
      <w:r>
        <w:rPr>
          <w:b/>
        </w:rPr>
        <w:t>E. 2.2</w:t>
      </w:r>
    </w:p>
    <w:p>
      <w:r>
        <w:t>En tant qu'il confirme, d'une part, la validité de la constitution de partie plaignante de B.________ et qu'il prévoit, d'autre part, que celle-ci peut consulter le dossier sans restriction, l'arrêt attaqué ne met pas fin à la procédure pénale ouverte contre les recourants et revêt dès lors un caractère incident. Il ne s'agit pas d'une décision séparée portant sur la compétence ou sur une demande de récusation de sorte que l' art. 92 LTF n'est pas applicable. Le recours en matière pénale n'est donc recevable qu'aux conditions posées à l' art. 93 al. 1 let. a LTF , soit si la décision attaquée peut causer un préjudice irréparable, l'hypothèse prévue à l' art. 93 al. 1 let. b LTF n'entrant pas en considération dans le cas d'espèce.</w:t>
      </w:r>
    </w:p>
    <w:p>
      <w:r>
        <w:t>En matière pénale, le préjudice irréparable au sens de l' art. 93 al. 1 let. a LTF se rapporte à un dommage de nature juridique qui ne puisse pas être réparé ultérieurement par un jugement final ou une autre décision favorable au recourant ( ATF 144 IV 127 consid. 1.3.1 p. 130). Il incombe au recourant de démontrer l'existence d'un tel préjudice lorsque celui-ci n'est pas d'emblée évident ( ATF 141 IV 284 consid. 2.3 p. 287).</w:t>
      </w:r>
    </w:p>
    <w:p>
      <w:r>
        <w:t>Selon la jurisprudence, une décision qui reconnaît à un tiers la qualité de partie plaignante dans une procédure pénale ne cause en règle générale au prévenu aucun préjudice irréparable qu'une décision finale ne ferait pas disparaître entièrement; le simple fait d'avoir à affronter une partie de plus dans le cadre d'une procédure ne constitue pas un tel préjudice. Par ailleurs, en cas de condamnation confirmée par les instances cantonales de recours, le prévenu aura la possibilité de se plaindre en dernier ressort, devant le Tribunal fédéral, d'une mauvaise application des dispositions de procédure pénale relatives à la qualité de partie plaignante (arrêts 1B_559/2018 du 12 mars 2019 consid. 2.1; 1B_399/2018 du 23 janvier 2019 consid. 2.1 et les arrêts cités; voir aussi ATF 128 I 215 consid. 2.1 p. 216). S'agissant en particulier de l'accès au dossier que le statut de partie plaignante offre, il est généralement considéré que celui-ci constitue à l'égard du prévenu un inconvénient potentiel inhérent à l'existence de toute procédure pénale, étant ainsi en principe insuffisant pour admettre un préjudice irréparable (arrêts 1B_559/2018 du 12 mars 2019 consid. 2.2; 1B_399/2018 du 23 janvier 2019 consid. 2.1 et les arrêts cités).</w:t>
      </w:r>
    </w:p>
    <w:p>
      <w:r>
        <w:rPr>
          <w:b/>
        </w:rPr>
        <w:t>E. 2.3</w:t>
      </w:r>
    </w:p>
    <w:p>
      <w:r>
        <w:t>Certes, dans l'arrêt 1B_554/2018 du 7 juin 2019 (cf. consid. 1.1), il n'avait pas été déterminé si A.________, alors seul recourant, pouvait se prévaloir de l'existence d'un préjudice irréparable, ce point étant resté indécis. Néanmoins, compte tenu des développements procéduraux intervenus depuis lors et dans la mesure où l'intimée, indépendamment de l'identité des organes qui la représentent valablement, serait manifestement lésée si le comportement illicite des recourants était avéré, il y a lieu d'examiner cet aspect du litige dans la présente cause.</w:t>
      </w:r>
    </w:p>
    <w:p>
      <w:r>
        <w:rPr>
          <w:b/>
        </w:rPr>
        <w:t>E. 2.4</w:t>
      </w:r>
    </w:p>
    <w:p>
      <w:r>
        <w:t>Les recourants se prévalent, sur la base de la jurisprudence rendue par le Tribunal pénal fédéral, des liens liant la société intimée à l'État vénézuélien - dont la situation est politiquement instable - pour établir l'existence d'un préjudice irréparable; du fait de cette configuration particulière, l'intimée disposerait de moyens supérieurs à ceux des recourants, étant en substance impossible pour ces derniers de connaître l'usage qui serait fait des données bancaires et autres secrets d'affaires dont elle pourrait avoir connaissance en consultant le dossier.</w:t>
      </w:r>
    </w:p>
    <w:p>
      <w:r>
        <w:t>C'est le lieu de rappeler que la Cour des plaintes du Tribunal pénal fédéral statue en tant qu'autorité de recours en application des art. 20 al. 1 let. b et 393 al. 1 let. a CPP. Dans ce cadre, sous réserve du cas particulier de l' art. 394 let. b CPP , la recevabilité du recours ne présuppose en principe pas l'existence d'un préjudice irréparable, mais uniquement celle d'un intérêt juridiquement protégé ( art. 382 al. 1 CPP ; ATF 143 IV 475 consid. 2.4 à 2.6 p. 478 ss; voir également ATF 144 IV 81 consid. 2.3.1 p. 84 s.; voir aussi ANDREW M. GARBARSKI, Le lésé et la partie plaignante dans la jurisprudence récente du Tribunal fédéral, in SJ 2017 II 125 p. 140 ss). C'est d'ailleurs dans le cadre de l'examen de cette condition que la Cour des plaintes a considéré que la qualité d'entité "quasi-étatique" d'une banque partie plaignante pouvait constituer un préjudice irréparable pour la personne s'opposant à ce statut, ce qui permettait de retenir l'existence d'un intérêt juridiquement protégé ouvrant la qualité pour recourir (cf. arrêt BB.2017.149 du 7 mars 2018 consid. 3.1 et 3.2). La jurisprudence du Tribunal pénal fédéral - relative à d'autres dispositions que celles entrant en considération devant le Tribunal fédéral - ne saurait ainsi être reprise sans autre.</w:t>
      </w:r>
    </w:p>
    <w:p>
      <w:r>
        <w:t>Cela étant, en l'espèce, la participation de la partie plaignante intimée, en l'occurrence une société liée à l'É tat vénézuélien, découle de la nature même des infractions qui sont reprochées aux recourants, à savoir notamment des actes de corruption d'agents publics étrangers (art. 322</w:t>
      </w:r>
    </w:p>
    <w:p>
      <w:r>
        <w:t>septies CP) qui auraient été commis à son préjudice. Si, par son statut, l'intimée pourrait certes disposer de moyens conséquents pour faire valoir ses droits dans la procédure, cette circonstance ne donne pas lieu à craindre, d'une manière générale, que l'enquête soit menée au mépris des droits procéduraux garantis aux recourants. En outre, si ceux-ci font valoir dans ce contexte que l'intimée agirait en réalité par l'intermédiaire de personnes liées aux intérêts du régime de J.________, dont la légitimité est contestée sur le plan international, cette circonstance ne saurait toutefois exclure qu'elle soit habilitée à agir dans le cadre d'une procédure pénale régie par le droit suisse. A cet égard, il est également observé qu'en l'état, l'Ordonnance du Conseil fédéral du 22 mars 2018 instituant des mesures à l'encontre du Venezuela (RS 946.231.178.5) ne paraît viser ni l'intimée, ni des personnes qui seraient désignées comme organes de celle-ci (cf. annexe 1 de l'Ordonnance précitée, consultée le 10 mars 2020 sur le site internet du Secrétariat d'État à l'économie [www.seco.admin.ch] dans sa version consolidée du 22 novembre 2019).</w:t>
      </w:r>
    </w:p>
    <w:p>
      <w:r>
        <w:t>Il y a par ailleurs lieu de rappeler, à la suite de la cour cantonale (cf. arrêt entrepris, consid. 6.3 p. 10), que la procédure pénale n'en est pas encore au stade de la confiscation ou de la dévolution à l'intimée des valeurs patrimoniales placées sous séquestre, plutôt qu'à l'É tat vénézuélien. Les recourants pourront ainsi, le cas échéant, contester la qualité de partie plaignante de l'intimée dans le cadre du jugement au fond.</w:t>
      </w:r>
    </w:p>
    <w:p>
      <w:r>
        <w:t>En tant que les recourants évoquent l'usage malveillant qui pourrait être fait de données bancaires ou de secrets d'affaires les concernant ensuite de la consultation du dossier par l'intimée, il apparaît que les craintes exprimées portent tout au plus sur un risque abstrait, insuffisant en l'état pour rendre vraisemblable un préjudice qui irait au-delà d'inconvénients de fait découlant de l'existence même d'une procédure pénale ouverte à leur encontre. En particulier, les recourants ne contestent pas que les procédures pénales intentées au Venezuela s'étaient soldées par des classements prononcés en 2017 et 2018, ni ne remettent en cause que la procédure civile, lancée aux É tats-Unis d'Amérique par un trust lié à l'intimée, n'avait pas eu de suite, faute pour celui-ci de s'être valablement légitimé (cf. arrêt entrepris, consid. 7.2 p. 13). Du reste, les recourants ne désignent pas non plus les documents versés au dossier qui, de manière concrète, pourraient faire l'objet d'une utilisation abusive justifiant le prononcé de mesures de restriction d'accès au dossier au sens des art. 102 al. 1 et 108 CPP .</w:t>
      </w:r>
    </w:p>
    <w:p>
      <w:r>
        <w:t>Ainsi, les recourants ne rendent pas vraisemblable que l'arrêt attaqué puisse, à ce stade de la procédure, leur causer un dommage de nature juridique qu'aucune décision ultérieure ne serait à même de réparer. Partant, les recours doivent être déclarés irrecevables.</w:t>
      </w:r>
    </w:p>
    <w:p>
      <w:r>
        <w:rPr>
          <w:b/>
        </w:rPr>
        <w:t>E. 2.5</w:t>
      </w:r>
    </w:p>
    <w:p>
      <w:r>
        <w:t>On relève enfin que, par courriers des 17 et 20 janvier 2020, l'avocat S.________ a annoncé représenter les intérêts de l'intimée dans la présente procédure fédérale, ce qui a été contesté par courrier du 21 janvier 2020 de l'avocat Guerric Canonica, qui avait été jusqu'alors le représentant de l'intimée, tant lors de la procédure cantonale que fédérale.</w:t>
      </w:r>
    </w:p>
    <w:p>
      <w:r>
        <w:t>Le 23 janvier 2020, une partie des actes de la présente procédure fédérale a été communiquée à Maître S.________, cette démarche ayant permis principalement d'informer le précité quant aux positions exprimées par les parties au sujet de la validité du mandat qui lui avait été confié. Cela étant, vu l'issue de la procédure, et dès lors que l'annonce du mandat de Maître S.________ est postérieure aux déterminations produites par Maître Canonica, datées du 6 décembre 2019, il y a lieu d'admettre que ce dernier représentait valablement les intérêts de l'intimée dans la présente procédure.</w:t>
      </w:r>
    </w:p>
    <w:p>
      <w:r>
        <w:t>Pour le surplus, dans la mesure où Maître S.________ a expliqué avoir également annoncé sa constitution au Ministère public par courrier du 6 janvier 2020, c'est à cette autorité qu'il appartiendra, le cas échéant, de déterminer si l'avocat précité est habilité à représenter les intérêts de l'intimée dans la suite de la procédure cantonale.</w:t>
      </w:r>
    </w:p>
    <w:p>
      <w:r>
        <w:rPr>
          <w:b/>
        </w:rPr>
        <w:t>E. 3</w:t>
      </w:r>
    </w:p>
    <w:p>
      <w:r>
        <w:t>Les recourants, qui succombent, supportent solidairement les frais judiciaires ( art. 66 al. 1 LTF ). La plaignante intimée, qui obtient gain de cause avec l'assistance de Maître Guerric Canonica, a droit à des dépens à la charge des recourants, solidairement entre eux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