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1B_547/2020 vom 3. Februar 2021</w:t>
      </w:r>
    </w:p>
    <w:p>
      <w:r>
        <w:t>Bundesgericht, 2021-02-03, DE</w:t>
      </w:r>
    </w:p>
    <w:p>
      <w:r>
        <w:rPr>
          <w:b/>
        </w:rPr>
        <w:t xml:space="preserve">Quelle: </w:t>
      </w:r>
      <w:r>
        <w:t>https://mcp.opencaselaw.ch/entscheid/bger_1B_547_2020</w:t>
      </w:r>
    </w:p>
    <w:p>
      <w:r>
        <w:t>FR: TF 1B_547/2020 du 3 février 2021</w:t>
      </w:r>
    </w:p>
    <w:p>
      <w:r>
        <w:t>IT: TF 1B_547/2020 del 3 febbraio 2021</w:t>
      </w:r>
    </w:p>
    <w:p>
      <w:pPr>
        <w:pStyle w:val="Heading2"/>
      </w:pPr>
      <w:r>
        <w:t>Erwägungen</w:t>
      </w:r>
    </w:p>
    <w:p>
      <w:r>
        <w:rPr>
          <w:b/>
        </w:rPr>
        <w:t>E. 1</w:t>
      </w:r>
    </w:p>
    <w:p>
      <w:r>
        <w:t>Gegen die angefochtene Verfügung steht die Beschwerde in Strafsachen gemäss Art. 78 ff. BGG zur Verfügung. Der Beschwerdeführer behauptet schlüssig, dass sich auf dem beschlagnahmten Mobiltelefon Daten befinden, die unter das Berufsgeheimnis fallen, womit ein drohender, nicht wieder gutzumachender Nachteil rechtlicher Natur in hinreichender Weise dargetan ist ( Art. 93 Abs. 1 lit. a BGG ). Ob er Entsiegelungshindernisse im vorinstanzlichen Verfahren genügend substanziiert geltend gemacht hat, bildet Gegenstand der inhaltlichen Beurteilung (vgl. zur Publ. vorgesehenes Urteil 1B_524/2020 vom 28. Dezember 2020 E. 1.4 mit Hinweisen).</w:t>
      </w:r>
    </w:p>
    <w:p>
      <w:r>
        <w:rPr>
          <w:b/>
        </w:rPr>
        <w:t>E. 2</w:t>
      </w:r>
    </w:p>
    <w:p>
      <w:r>
        <w:t>Das Zwangsmassnahmengericht bejahte sowohl den hinreichenden Tatverdacht als auch die potenzielle Beweistauglichkeit der auf dem Mobiltelefon gespeicherten Daten und die Verhältnismässigkeit dessen Durchsuchung. Die Durchführung eines Triageverfahrens erübrige sich, da der Beschwerdeführer nicht genügend substanziiert geltend gemacht habe, dass Geheimhaltungsinteressen vorlägen.</w:t>
      </w:r>
    </w:p>
    <w:p>
      <w:r>
        <w:t>Der Beschwerdeführer bestreitet im Verfahren vor Bundesgericht den hinreichenden Tatverdacht nicht mehr. Er macht indessen geltend, der angefochtene Entscheid verletze das in Art. 197 Abs. 1 lit. c StPO verankerte Verhältnismässigkeitsprinzip, da die Ziele der Untersuchung auch durch mildere Massnahmen erreicht werden könnten (E. 3 hiernach). Zudem habe er Geheimhaltungsinteressen sehr wohl hinreichend substanziiert geltend gemacht (E. 4 hiernach).</w:t>
      </w:r>
    </w:p>
    <w:p>
      <w:r>
        <w:rPr>
          <w:b/>
        </w:rPr>
        <w:t>E. 3.1</w:t>
      </w:r>
    </w:p>
    <w:p>
      <w:r>
        <w:t>Zur behaupteten Verletzung des Verhältnismässigkeitsprinzips ( Art. 197 Abs. 1 lit. c StPO ) bringt der Beschwerdeführer vor, dass Ende Oktober 2020 zwei Einvernahmen geplant seien und C.B.________ zur zentralen Frage, ob er der "vorfinanzierenden Person" 2 Mio. Fr. schulde, noch nicht habe befragt werden können. Allenfalls könnten auch Auskünfte vom damals tätigen Notar eingeholt werden. Diese Untersuchungsmassnahmen müssten der Entsiegelung vorgehen.</w:t>
      </w:r>
    </w:p>
    <w:p>
      <w:r>
        <w:rPr>
          <w:b/>
        </w:rPr>
        <w:t>E. 3.2</w:t>
      </w:r>
    </w:p>
    <w:p>
      <w:r>
        <w:t>Entgegen der Auffassung des Beschwerdeführers wurde das Verhältnismässigkeitsprinzip nicht verletzt: Sind die in Frage stehenden Aufzeichnungen untersuchungsrelevant, so steht die theoretische Möglichkeit, dass die Staatsanwaltschaft die betreffenden Informationen auch auf andere Weise erlangen könnte, der Entsiegelung nicht entgegen. Selbst wenn sich aus den vom Beschwerdeführer erwähnten Einvernahmen wesentliche Erkenntnisse ergäben, würden dadurch die auf dem Mobiltelefon gespeicherten Daten für das Strafverfahren nicht obsolet, da sie dazu dienen können, die an den Einvernahmen gemachten Aussagen zu belegen, zu widerlegen oder zu ergänzen (vgl. Urteil 1B_394/2017 vom 17. Januar 2018 E. 5.3 mit Hinweisen, nicht publ. in BGE 144 IV 74 ).</w:t>
      </w:r>
    </w:p>
    <w:p>
      <w:r>
        <w:rPr>
          <w:b/>
        </w:rPr>
        <w:t>E. 4.1</w:t>
      </w:r>
    </w:p>
    <w:p>
      <w:r>
        <w:t>Der Beschwerdeführer beanstandet weiter, dass das Zwangsmassnahmengericht keine Triageverhandlung angeordnet habe. An dieser seien Daten, die nicht beschlagnahmt werden dürften, auszusondern. In seinen Stellungnahmen im vorinstanzlichen Verfahren habe er auf Geheimnisinteressen hingewiesen (Stellungnahme vom 25. [recte: 29.] April 2020, Rz. 42; Stellungnahme vom 10. Juni 2020, S. 5 f.). Es könne von ihm nicht verlangt werden, dass er sich konkreter äussere.</w:t>
      </w:r>
    </w:p>
    <w:p>
      <w:r>
        <w:rPr>
          <w:b/>
        </w:rPr>
        <w:t>E. 4.2</w:t>
      </w:r>
    </w:p>
    <w:p>
      <w:r>
        <w:t>Nach der Praxis des Bundesgerichts genügt es nicht, wenn der Inhaber der gesiegelten Dateien im Entsiegelungsverfahren pauschal geltend macht, auf den sichergestellten elektronischen Datenträgern befänden sich (irgendwo) Aufzeichnungen, die geheimnisgeschützt oder nicht untersuchungsrelevant seien. Es ist nicht die Aufgabe des Entsiegelungsrichters, diesbezüglich von Amtes wegen selber aufwändige Nachforschungen anzustellen. Eine richterliche Durchsuchung und förmliche Triage von umfangreichen Dateien hat nur zu erfolgen, wenn ihr Inhaber Geheimnisgründe (oder die fehlende Untersuchungsrelevanz) substanziiert und ausreichende Hinweise gibt, in welchen Datenspeichern nach welchen auszusondernden Aufzeichnungen zu suchen ist ( BGE 138 IV 225 E. 7.1 S. 229; Urteil 1B_389/2019 vom 16. Januar 2020 E. 5.1; 1B_2/2019 vom 11. Juli 2019 E. 2; je mit Hinweisen).</w:t>
      </w:r>
    </w:p>
    <w:p>
      <w:r>
        <w:rPr>
          <w:b/>
        </w:rPr>
        <w:t>E. 4.3</w:t>
      </w:r>
    </w:p>
    <w:p>
      <w:r>
        <w:t>Mit seinen beiden Eingaben an die Vorinstanz kam der Beschwerdeführer dieser Obliegenheit nicht nach. In der ersten machte er pauschal geltend, es sei bei dieser Datenmenge davon auszugehen, dass Gründe wie Geschäftsgeheimnisse, Aussage- oder Zeugnisverweigerungsrechte etc. vorlägen. In der zweiten erwähnte er den Schutz "aller involvierten Rechtsanwälte", ebenfalls ohne dies weiter auszuführen. Damit machte er nicht hinreichend konkret geltend, wo nach welchen auszusondernden Aufzeichnungen zu suchen sei. Die Rüge ist deshalb unbegründet.</w:t>
      </w:r>
    </w:p>
    <w:p>
      <w:r>
        <w:rPr>
          <w:b/>
        </w:rPr>
        <w:t>E. 5</w:t>
      </w:r>
    </w:p>
    <w:p>
      <w:r>
        <w:t>Die Beschwerde ist aus diesen Gründen abzuweisen.</w:t>
      </w:r>
    </w:p>
    <w:p>
      <w:r>
        <w:t>Bei diesem Verfahrensausgang sind die Gerichtskosten dem Beschwerdeführer aufzuerlegen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