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1B_546/2017 vom 11. Mai 2018</w:t>
      </w:r>
    </w:p>
    <w:p>
      <w:r>
        <w:t>Bundesgericht, 2018-05-11, DE</w:t>
      </w:r>
    </w:p>
    <w:p>
      <w:r>
        <w:rPr>
          <w:b/>
        </w:rPr>
        <w:t xml:space="preserve">Quelle: </w:t>
      </w:r>
      <w:r>
        <w:t>https://mcp.opencaselaw.ch/entscheid/bger_1B_546_2017</w:t>
      </w:r>
    </w:p>
    <w:p>
      <w:r>
        <w:t>FR: TF 1B_546/2017 du 11 mai 2018</w:t>
      </w:r>
    </w:p>
    <w:p>
      <w:r>
        <w:t>IT: TF 1B_546/2017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grundsätzlich einzutreten.</w:t>
      </w:r>
    </w:p>
    <w:p>
      <w:r>
        <w:rPr>
          <w:b/>
        </w:rPr>
        <w:t>E. 1.2</w:t>
      </w:r>
    </w:p>
    <w:p>
      <w:r>
        <w:t>Nicht einzutreten ist jedoch auf das erst in der Replik vom 20. Februar 2018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November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die Beschwerdegegner gestützt auf Art. 56 lit. f StPO ablehnte, ohne konkret darzutun, weshalb der Anschein der Befangenheit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Der Mangel einer hinreichenden gesetzlichen Grundlage betreffe auch den Einsatz von Oberrichter Niklaus, Geiser und Kiener im Ausstandsverfahren.</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Abs.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dem Beschwerdeführer,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5</w:t>
      </w:r>
    </w:p>
    <w:p>
      <w:r>
        <w:t>Die Beschwerde ist deshalb abzuweisen, soweit darauf einzutreten ist.</w:t>
      </w:r>
    </w:p>
    <w:p>
      <w:r>
        <w:t>Der Beschwerdeführer stellt ein Gesuch um unentgeltliche Rechtspflege. Er hat seine finanziellen Verhältnisse jedoch nicht hinreichend offengelegt, als dass beurteilt werden könnte, ob er nicht über die erforderlichen Mittel verfügt ( Art. 64 Abs. 1 BGG ). Der Hinweis, er habe bereits in anderen Verfahren Gerichtskostenvorschüsse leisten müssen und könne sich die Verfahren finanziell nicht mehr leisten, reicht dafür nicht.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