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1B_545/2017 vom 18. Januar 2018</w:t>
      </w:r>
    </w:p>
    <w:p>
      <w:r>
        <w:t>Bundesgericht, 2018-01-18, FR</w:t>
      </w:r>
    </w:p>
    <w:p>
      <w:r>
        <w:rPr>
          <w:b/>
        </w:rPr>
        <w:t xml:space="preserve">Quelle: </w:t>
      </w:r>
      <w:r>
        <w:t>https://mcp.opencaselaw.ch/entscheid/bger_1B_545_2017</w:t>
      </w:r>
    </w:p>
    <w:p>
      <w:r>
        <w:t>FR: TF 1B_545/2017 du 18 janvier 2018</w:t>
      </w:r>
    </w:p>
    <w:p>
      <w:r>
        <w:t>IT: TF 1B_545/2017 del 18 gennaio 2018</w:t>
      </w:r>
    </w:p>
    <w:p>
      <w:pPr>
        <w:pStyle w:val="Heading2"/>
      </w:pPr>
      <w:r>
        <w:t>Erwägungen</w:t>
      </w:r>
    </w:p>
    <w:p>
      <w:r>
        <w:rPr>
          <w:b/>
        </w:rPr>
        <w:t>E. 1</w:t>
      </w:r>
    </w:p>
    <w:p>
      <w:r>
        <w:t>Le recours en matière pénale ( art. 78 al. 1 LTF ) est ouvert contre une décision relative à la détention provisoire au sens des art. 212 ss CPP . Selon l'art. 81 al. 1 let. a et b ch. 1 LTF, le prévenu détenu a qualité pour recourir. Pour le surplus, le recours a été formé en temps utile ( art. 100 al. 1 LTF ) contre une décision rendue en dernière instance cantonale ( art. 80 LTF ). Les conclusions du recourant tendant à sa libération immédiate sont recevables ( art. 107 al. 2 LTF ).</w:t>
      </w:r>
    </w:p>
    <w:p>
      <w:r>
        <w:rPr>
          <w:b/>
        </w:rPr>
        <w:t>E. 2</w:t>
      </w:r>
    </w:p>
    <w:p>
      <w:r>
        <w:t>Une mesure de détention avant jugement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 art. 221 al. 1 CPP ; art. 5 § 1 let . c CEDH). En tout état de cause, la détention avant jugement ne doit pas durer plus longtemps que la peine privative de liberté prévisible ( art. 212 al. 3 CPP ).</w:t>
      </w:r>
    </w:p>
    <w:p>
      <w:r>
        <w:rPr>
          <w:b/>
        </w:rPr>
        <w:t>E. 3</w:t>
      </w:r>
    </w:p>
    <w:p>
      <w:r>
        <w:t>Le recourant ne conteste pas l'existence de charges suffisantes à son encontre. Il relève toutefois que l'accusation relative à l'infraction grave à la loi fédérale sur les stupéfiants repose essentiellement sur les dépositions d'un autre prévenu qui tente de se décharger alors que ses déclarations ont été constantes et cohérentes. Il soutient que l'intensité du risque de fuite s'est affaiblie en regard du niveau des soupçons pesant désormais sur lui et que sa libération aurait dû être ordonnée sans condition, respectivement moyennant le dépôt de sûretés à hauteur de 5'000 fr., voire l'assignation à résidence sous surveillance électronique et l'obligation de se présenter régulièrement à un service administratif. La Chambre des recours pénale aurait violé le droit fédéral en considérant, sans motiver sa décision sur ce point, que ces mesures de substitution étaient insuffisantes à pallier le risque de fuite.</w:t>
      </w:r>
    </w:p>
    <w:p>
      <w:r>
        <w:rPr>
          <w:b/>
        </w:rPr>
        <w:t>E. 3.1</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La gravité de l'infraction ne peut pas, à elle seule, justifier la prolongation de la détention, même si elle permet souvent de présumer un danger de fuite en raison de l'importance de la peine dont le prévenu est menacé ( ATF 125 I 60 consid. 3a p. 62; 117 Ia 69 consid. 4a p. 70).</w:t>
      </w:r>
    </w:p>
    <w:p>
      <w:r>
        <w:t>Conformément au principe de la proportionnalité ancré à l' art. 36 al. 3 Cst. , le juge de la détention doit 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et autres documents officiels (let. b), l'assignation à résidence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 art. 237 al. 3 CPP précise que, pour surveiller l'exécution de ces mesures, le tribunal peut ordonner l'utilisation d'appareils techniques qui peuvent être fixés à la personne sous surveillance.</w:t>
      </w:r>
    </w:p>
    <w:p>
      <w:r>
        <w:rPr>
          <w:b/>
        </w:rPr>
        <w:t>E. 3.2</w:t>
      </w:r>
    </w:p>
    <w:p>
      <w:r>
        <w:t>La Chambre des recours pénale a jugé qu'au vu de la gravité des faits incriminés et de l'éventualité d'une mesure d'expulsion en cas de condamnation, il existait un risque que le recourant regagne le Kenya au bénéfice de la non-extradition des nationaux ou disparaisse dans la clandestinité, le cas échéant à l'étranger, dans le dessein de se soustraire aux opérations d'enquête et aux poursuites pénales. Elle a également considéré que ni la fourniture de sûretés ni les autres mesures de substitution suggérées sous la forme d'une assignation à résidence assortie d'une surveillance électronique n'étaient suffisantes à parer le risque de fuite. Ce raisonnement ne prête pas le flanc à la critique.</w:t>
      </w:r>
    </w:p>
    <w:p>
      <w:r>
        <w:t>Le recourant peut certes se prévaloir d'importantes attaches en Suisse où il vit depuis 2004 et bénéficie d'un emploi stable à 70 % en tant qu'employé de la compagnie B.________ AG, qu'il dit compléter par une activité occasionnelle de transporteur/déménageur. Il n'a toutefois ni fortune, ni famille proche en Suisse, hormis une cousine, et n'a pas eu d'enfants avec son épouse, aujourd'hui décédée. S'il fréquente une amie, celle-ci ne vit pas sous le même toit mais à Bienne. Par ailleurs, sa mère réside au Kenya où il est né, a fait ses études et a travaillé avant de venir en Suisse. Les faits qui lui sont reprochés sont graves et il s'expose à une peine privative de liberté ferme supérieure à celle subie à ce jour s'il devait être reconnu coupable, voire à une expulsion obligatoire du territoire helvétique pour une durée de cinq à quinze ans en vertu de l' art. 66a al. 1 let . o CP, quelle que soit la quotité de la peine prononcée à son encontre, dans la mesure où il ne fait valoir aucun motif de rigueur susceptible de faire obstacle à une telle mesure. Contrairement à ce qu'il soutient, aucun élément particulier ressortant du dossier de détention remis au Tribunal fédéral ne permet de considérer que les charges pesant à son encontre se sont affaiblies au cours de la procédure pénale (même si elles ne se sont pas intensifiées) et que le risque de fuite le concernant aurait diminué. Il appartiendra au juge du fond d'examiner la crédibilité des déclarations du coprévenu C.________ qui le met en cause pour avoir pris en charge à Bâle et transporté 15 cylindres de cocaïne au regard de ses propres déclarations. Cela étant, sur la base de ces éléments, la Chambre des recours pénale pouvait conclure à l'existence d'un risque concret de fuite sans violer le droit fédéral.</w:t>
      </w:r>
    </w:p>
    <w:p>
      <w:r>
        <w:t>La somme de 5'000 fr. proposée à titre de sûretés est dérisoire et la cour cantonale n'a pas fait une application erronée des art. 237 al. 2 let. a et 238 al. 2 CPP en considérant qu'elle était insuffisante à pallier le risque de fuite, sachant que le recourant travaillait depuis cinq ans lorsqu'il a été interpelé puis placé en détention provisoire et qu'il déclarait faire des transports pour compléter ses revenus. Par ailleurs, le dépôt des pièces d'identité, l'assignation à résidence assortie du port d'un bracelet électronique et l'obligation de se présenter à un service administratif ne sont pas des mesures propres à éviter la fuite du recourant, sans qu'il soit nécessaire d'examiner si, dans le cas concret, elles permettraient ou non une intervention rapide de la police. Le recourant ne peut à cet égard rien déduire en sa faveur de l'arrêt rendu le 20 septembre 2017 dans la cause 1B_344/2017 où le risque de fuite était considérablement atténué étant donné que le prévenu avait déjà subi une incarcération conséquente et que les charges pesant à son encontre s'étaient affaiblies au cours de la procédure.</w:t>
      </w:r>
    </w:p>
    <w:p>
      <w:r>
        <w:t>Le maintien du recourant en détention au plus tard jusqu'au 24 janvier 2018 se justifie ainsi en l'état de la procédure en raison d'un risque de fuite et ne saurait être tenu pour disproportionné. Il appartiendra au Ministère public d'examiner si une nouvelle prolongation entre ou non en considération au terme de l'audition finale du recourant prévue le 22 janvier 2018.</w:t>
      </w:r>
    </w:p>
    <w:p>
      <w:r>
        <w:rPr>
          <w:b/>
        </w:rPr>
        <w:t>E. 4</w:t>
      </w:r>
    </w:p>
    <w:p>
      <w:r>
        <w:t>Le recours doit par conséquent être rejeté. Le recourant a demandé à être dispensé des frais judiciaires aux motifs qu'il est privé de tout revenu depuis son incarcération et qu'il ne dispose pas de fortune. Il a toutefois renoncé à une défense d'office; il est ainsi présumé pouvoir rémunérer son conseil et assumer les frais de la présente procédure, lesquels peuvent être arrêtés, compte tenu de l'ensemble des circonstances, à 500 fr. Au demeurant, les conclusions du recours étaient vouées à l'échec, de sorte que sa requête d'assistance judiciaire gratuite doit être rejetée ( art. 64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