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543/2019 vom 14. November 2019</w:t>
      </w:r>
    </w:p>
    <w:p>
      <w:r>
        <w:t>Bundesgericht, 2019-11-14, DE</w:t>
      </w:r>
    </w:p>
    <w:p>
      <w:r>
        <w:rPr>
          <w:b/>
        </w:rPr>
        <w:t xml:space="preserve">Quelle: </w:t>
      </w:r>
      <w:r>
        <w:t>https://mcp.opencaselaw.ch/entscheid/bger_1B_543_2019</w:t>
      </w:r>
    </w:p>
    <w:p>
      <w:r>
        <w:t>FR: TF 1B 543/2019 du 14 novembre 2019</w:t>
      </w:r>
    </w:p>
    <w:p>
      <w:r>
        <w:t>IT: TF 1B 543/2019 del 14 novembre 2019</w:t>
      </w:r>
    </w:p>
    <w:p>
      <w:pPr>
        <w:pStyle w:val="Heading2"/>
      </w:pPr>
      <w:r>
        <w:t>Regeste</w:t>
      </w:r>
    </w:p>
    <w:p>
      <w:r>
        <w:t>Untersuchungshaft | Strafprozess</w:t>
      </w:r>
    </w:p>
    <w:p>
      <w:pPr>
        <w:pStyle w:val="Heading2"/>
      </w:pPr>
      <w:r>
        <w:t>Erwägungen</w:t>
      </w:r>
    </w:p>
    <w:p>
      <w:r>
        <w:rPr>
          <w:b/>
        </w:rPr>
        <w:t>E. 1</w:t>
      </w:r>
    </w:p>
    <w:p>
      <w:r>
        <w:t>Die Staatsanwaltschaft des Kantons Schaffhausen führt gegen A.________ eine Strafuntersuchung wegen Drohung, Beschimpfung und Nötigung. Am 30. September 2019 wurde A.________ vorläufig festgenommen. Das Kantonsgericht Schaffhausen verfügte am 3. Oktober 2019 auf Antrag der Staatsanwaltschaft Untersuchungshaft gegenüber A.________ bis zum 30. Dezember 2019. Dagegen erhob A.________ am 6. Oktober 2019 Beschwerde, welche das Obergericht des Kantons Schaffhausen mit Entscheid vom 22. Oktober 2019 abwies, soweit es darauf eintrat. Es bejahte dabei den dringenden Tatverdacht sowie die besonderen Haftgründe der Kollusionsgefahr und der Ausführungsgefahr. Ausserdem erachtete es die Untersuchungshaft als verhältnismässig.</w:t>
      </w:r>
    </w:p>
    <w:p>
      <w:r>
        <w:rPr>
          <w:b/>
        </w:rPr>
        <w:t>E. 2</w:t>
      </w:r>
    </w:p>
    <w:p>
      <w:r>
        <w:t>A.________ wandte sich mit Eingabe vom 6. November 2019 ans Bundesgericht und beanstandete dabei die Untersuchungshaft. Mit Schreiben vom 12. November 2019 liess das Obergericht des Kantons Schaffhausen dem Bundesgericht zuständigkeitshalber eine von A.________ bei ihm eingereichte Eingabe zugehen.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setzt sich mit der Begründung des Obergerichts, die zur Abweisung seiner Beschwerde führte, nicht auseinander. Er vermag nicht nachvollziehbar aufzuzeigen, dass das Obergericht Recht im Sinne von Art. 42 Abs. 2 BGG verletzt hätte, als es die Voraussetzungen der Untersuchungshaft bejahte. Aus seinen Eingaben ergibt sich nicht ansatzweise,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