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543/2011 vom 29. November 2011</w:t>
      </w:r>
    </w:p>
    <w:p>
      <w:r>
        <w:t>Bundesgericht, 2011-11-29, DE</w:t>
      </w:r>
    </w:p>
    <w:p>
      <w:r>
        <w:rPr>
          <w:b/>
        </w:rPr>
        <w:t xml:space="preserve">Quelle: </w:t>
      </w:r>
      <w:r>
        <w:t>https://mcp.opencaselaw.ch/entscheid/bger_1B_543_2011</w:t>
      </w:r>
    </w:p>
    <w:p>
      <w:r>
        <w:t>FR: TF 1B 543/2011 du 29 novembre 2011</w:t>
      </w:r>
    </w:p>
    <w:p>
      <w:r>
        <w:t>IT: TF 1B 543/2011 del 29 novembre 2011</w:t>
      </w:r>
    </w:p>
    <w:p>
      <w:pPr>
        <w:pStyle w:val="Heading2"/>
      </w:pPr>
      <w:r>
        <w:t>Regeste</w:t>
      </w:r>
    </w:p>
    <w:p>
      <w:r>
        <w:t>Nichteröffnung einer Strafuntersuchung; Amtspflichtverletzung | Strafprozess</w:t>
      </w:r>
    </w:p>
    <w:p>
      <w:pPr>
        <w:pStyle w:val="Heading2"/>
      </w:pPr>
      <w:r>
        <w:t>Erwägungen</w:t>
      </w:r>
    </w:p>
    <w:p>
      <w:r>
        <w:rPr>
          <w:b/>
        </w:rPr>
        <w:t>E. 1.1</w:t>
      </w:r>
    </w:p>
    <w:p>
      <w:r>
        <w:t>Mit dem angefochtenen Entscheid wird bestätigt, dass das vom Beschwerdeführer angestrebte Strafverfahren nicht anhand genommen wird. Damit ist das Verfahren abgeschlossen. Es handelt sich um einen Endentscheid einer letzten kantonalen Instanz in einer Strafsache, gegen den die Beschwerde in Strafsachen zulässig ist ( Art. 78 Abs. 1, Art. 80 Abs. 1, Art. 90 BGG ).</w:t>
      </w:r>
    </w:p>
    <w:p>
      <w:r>
        <w:rPr>
          <w:b/>
        </w:rPr>
        <w:t>E. 1.2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Da der angefochtene Entscheid nach dem 31. Dezember 2010 datiert, beurteilt sich die Frage des rechtlich geschützten Interesses nach der am 1. Januar 2011 in Kraft getretenen Fassung von Art. 81 Abs. 1 lit. b BGG ( Art. 132 Abs. 1 BGG ). In Betracht fällt vorliegend einzig Art. 81 Abs. 1 lit. b Ziff. 5 BGG. Danach wird der Privatklägerschaft ein rechtlich geschütztes Interesse zuerkannt, wenn der angefochtene Entscheid sich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137 IV 246 E. 1.3.1 S. 247 f. mit Hinweisen). Aus den Eingaben des Beschwerdeführers im bundesgerichtlichen Verfahren geht nicht hervor, welche Zivilforderungen ihm zustehen sollen. Wenn er in seiner Replik vom 11. November 2011 behauptet, in seiner Persönlichkeit verletzt worden zu sein und deshalb Schadenersatzansprüche geltend machen zu können, so reicht dies nicht aus, zumal das Bestehen eines Schadens auch nicht offensichtlich ist. Auf die Beschwerde ist insofern nicht einzutreten.</w:t>
      </w:r>
    </w:p>
    <w:p>
      <w:r>
        <w:rPr>
          <w:b/>
        </w:rPr>
        <w:t>E. 1.3</w:t>
      </w:r>
    </w:p>
    <w:p>
      <w:r>
        <w:t>Obwohl der Beschwerdeführer in der Sache selbst nicht legitimiert ist, kann er vor Bundesgericht geltend machen, im kantonalen Verfahren in seinen Parteirechten verletzt worden zu sein. Allerdings kann auf diesem Weg keine (indirekte) Überprüfung des Entscheids in der Hauptsache erlangt werden. Nicht einzutreten ist daher auf formelle Rügen, deren Beurteilung von der Prüfung in der Sache selbst nicht getrennt werden kann ( BGE 129 I 217 E. 1.4 S. 222 mit Hinweisen). Zwar macht der Beschwerdeführer auch eine Verletzung von Parteirechten geltend, indem er rügt, ihm sei kein faires Verfahren im Sinne von Art. 6 EMRK gewährt worden. Diese Verletzung leitet er jedoch ausschliesslich aus der Behauptung ab, die Vorinstanz sei fälschlicherweise von einer rechtskräftig beurteilten Angelegenheit ausgegangen. Diese Kritik kann von einer Prüfung in der Sache selbst nicht getrennt werden, weshalb auch insofern nicht auf die Beschwerde einzutreten ist.</w:t>
      </w:r>
    </w:p>
    <w:p>
      <w:r>
        <w:rPr>
          <w:b/>
        </w:rPr>
        <w:t>E. 2</w:t>
      </w:r>
    </w:p>
    <w:p>
      <w:r>
        <w:t>Auf die Beschwerde ist nicht einzutreten. Bei diesem Ausgang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