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1B_542/2022 vom 17. November 2022</w:t>
      </w:r>
    </w:p>
    <w:p>
      <w:r>
        <w:t>Bundesgericht, 2022-11-17, DE</w:t>
      </w:r>
    </w:p>
    <w:p>
      <w:r>
        <w:rPr>
          <w:b/>
        </w:rPr>
        <w:t xml:space="preserve">Quelle: </w:t>
      </w:r>
      <w:r>
        <w:t>https://mcp.opencaselaw.ch/entscheid/bger_1B_542_2022</w:t>
      </w:r>
    </w:p>
    <w:p>
      <w:r>
        <w:t>FR: TF 1B_542/2022 du 17 novembre 2022</w:t>
      </w:r>
    </w:p>
    <w:p>
      <w:r>
        <w:t>IT: TF 1B_542/2022 del 17 novembre 2022</w:t>
      </w:r>
    </w:p>
    <w:p>
      <w:pPr>
        <w:pStyle w:val="Heading2"/>
      </w:pPr>
      <w:r>
        <w:t>Erwägungen</w:t>
      </w:r>
    </w:p>
    <w:p>
      <w:r>
        <w:rPr>
          <w:b/>
        </w:rPr>
        <w:t>E. 1</w:t>
      </w:r>
    </w:p>
    <w:p>
      <w:r>
        <w:t>Am 26. September 2022 ist das Kantonsgericht Wallis in der Besetzung Jérôme Emonet (Richter) und Milan Kryka (Gerichtsschreiber) auf das Ausstandsgesuch von A.________ gegen Kantonsrichter Emonet nicht eingetreten und hat dasjenige gegen Staatsanwalt Lehner abgewiesen, soweit es darauf eingetreten ist. Das gegen ihn persönlich gerichtetete Gesuch hat Kantonsrichter Emonet selber beurteilt, weil er es als offensichtlich unbegründet einstufte. Das Ausstandsgesuch gegen Staatsanwalt Lehner beurteilte er insoweit als rechtsmissbräuchlich, als A.________, der bereits wiederholt erfolglos dessen Ausstand verlangt hatte, keine neuen Ausstandsgründe geltend machte. Der einzige neu erhobene Vorwurf - Staatsanwalt Lehner habe eine Nichtanhandnahmeverfügung und einen Strafbefehl erlassen, die in sich widersprüchlich seien - würde, selbst wenn er, was offen sei, zuträfe, keinen besonders schweren Verfahrensfehler darstellen, der auf eine Befangenheit des Staatsanwaltes schliessen lassen könnte.</w:t>
      </w:r>
    </w:p>
    <w:p>
      <w:r>
        <w:t>Mit Eingaben vom 15. und vom 17. Oktober 2022 erhebt A.________ Beschwerde gegen diese Verfügung des Kantonsgerichts.</w:t>
      </w:r>
    </w:p>
    <w:p>
      <w:r>
        <w:t>Vernehmlassungen wurden keine eingeholt.</w:t>
      </w:r>
    </w:p>
    <w:p>
      <w:r>
        <w:rPr>
          <w:b/>
        </w:rPr>
        <w:t>E. 2</w:t>
      </w:r>
    </w:p>
    <w:p>
      <w:r>
        <w:t>Angefochten ist ein kantonal letztinstanzlicher Entscheid in einer strafrechtlichen Angelegenheit. Dagegen steht die Beschwerde nach Art.78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Der Beschwerdeführer setzt sich mit dem angefochtenen Entscheid nicht sachgerecht auseinander. Die Beschwerde erschöpft sich vielmehr in einer allgemeinen, unbelegten und teilweise ungebührlichen Polemik gegen die kantonalen Strafverfolgungs- und Gerichtsbehörden und einzelne ihrer Vertreter sowie gegen das Bundesgericht, insbesondere dessen Präsidentin und einen mit seinen Angelegenheiten befassten Gerichtsschreiber. Darauf ist wegen Verletzung der gesetzlichen Begründungspflicht im vereinfachten Verfahren nicht einzutreten.</w:t>
      </w:r>
    </w:p>
    <w:p>
      <w:r>
        <w:rPr>
          <w:b/>
        </w:rPr>
        <w:t>E. 3</w:t>
      </w:r>
    </w:p>
    <w:p>
      <w:r>
        <w:t>Bei diesem Ausgang des Verfahrens trägt der Beschwerdeführer die 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