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1B_53/2012 vom 23. April 2012</w:t>
      </w:r>
    </w:p>
    <w:p>
      <w:r>
        <w:t>Bundesgericht, 2012-04-23, DE</w:t>
      </w:r>
    </w:p>
    <w:p>
      <w:r>
        <w:rPr>
          <w:b/>
        </w:rPr>
        <w:t xml:space="preserve">Quelle: </w:t>
      </w:r>
      <w:r>
        <w:t>https://mcp.opencaselaw.ch/entscheid/bger_1B_53_2012</w:t>
      </w:r>
    </w:p>
    <w:p>
      <w:r>
        <w:t>FR: TF 1B_53/2012 du 23 avril 2012</w:t>
      </w:r>
    </w:p>
    <w:p>
      <w:r>
        <w:t>IT: TF 1B_53/2012 del 23 aprile 2012</w:t>
      </w:r>
    </w:p>
    <w:p>
      <w:pPr>
        <w:pStyle w:val="Heading2"/>
      </w:pPr>
      <w:r>
        <w:t>Erwägungen</w:t>
      </w:r>
    </w:p>
    <w:p>
      <w:r>
        <w:rPr>
          <w:b/>
        </w:rPr>
        <w:t>E. 1.1</w:t>
      </w:r>
    </w:p>
    <w:p>
      <w:r>
        <w:t>Mit dem angefochtenen Entscheid wird bestätigt, dass das von den Beschwerdeführern angestrebte Strafverfahren nicht anhand genommen wird. Damit ist das Verfahren abgeschlossen. Es handelt sich um einen Endentscheid einer letzten kantonalen Instanz in einer Strafsache, gegen den die Beschwerde in Strafsachen zulässig ist ( Art. 78 Abs. 1, Art. 80 Abs. 1, Art. 90 BGG ). Die gleichzeitig mit der Beschwerde in Strafsachen erhobene subsidiäre Verfassungsbeschwerde fällt damit ausser Betracht ( Art. 113 BGG ).</w:t>
      </w:r>
    </w:p>
    <w:p>
      <w:r>
        <w:rPr>
          <w:b/>
        </w:rPr>
        <w:t>E. 1.2</w:t>
      </w:r>
    </w:p>
    <w:p>
      <w:r>
        <w:t>Die Beschwerdeschrift ist einzig vom Beschwerdeführer unterzeichnet. Zwar wird darin ausgeführt, auch die Beschwerdeführerin sei zur Beschwerde legitimiert. Jedoch hat der Beschwerdeführer weder eine Vollmacht eingereicht noch weist er nach, berechtigt zu sein, als Parteivertreter in Strafsachen vor Bundesgericht aufzutreten ( Art. 40 BGG ). Auf die Beschwerde der Beschwerdeführerin ist deshalb nicht einzutreten.</w:t>
      </w:r>
    </w:p>
    <w:p>
      <w:r>
        <w:rPr>
          <w:b/>
        </w:rPr>
        <w:t>E. 1.3</w:t>
      </w:r>
    </w:p>
    <w:p>
      <w:r>
        <w:t>Der Beschwerdeführer hat am vorinstanzlichen Verfahren teilgenommen und macht geltend, das Obergericht habe durch den Nichteintretensentscheid Bundesrecht verletzt. Zu dieser Rüge ist er im bundesgerichtlichen Verfahren ungeachtet seiner Legitimation in der Sache berechtigt ( Art. 89 Abs. 1 BGG , vgl. BGE 136 IV 41 E. 1.4 S. 44 mit Hinweisen). Der Streitgegenstand ist jedoch auf diese Frage beschränkt (Urteile 1C_162/2010 vom 18. Mai 2010 E. 1.2; 1C_405/2008 vom 18. März 2009 E. 1, in: URP 2010 S. 295). Deshalb kann insofern nicht auf die Beschwerde eingetreten werden, als der Beschwerdeführer darüber hinaus verlangt, die Untersuchung sei anhandzunehmen.</w:t>
      </w:r>
    </w:p>
    <w:p>
      <w:r>
        <w:rPr>
          <w:b/>
        </w:rPr>
        <w:t>E. 2</w:t>
      </w:r>
    </w:p>
    <w:p>
      <w:r>
        <w:t>Die Vorinstanz begründete das Nichteintreten auf das Rechtsmittel des Beschwerdeführers mit dem Umstand, dass dieser seine Forderung bereits am 3. Februar 2011 an die Beschwerdeführerin abgetreten habe. Er sei damit durch die nach diesem Zeitpunkt vorgenommenen Handlungen und Unterlassungen der damaligen Leiterin des Betreibungsamts nicht in seinen Rechten verletzt worden. Mangels Geschädigtenstellung könne er nicht Privatkläger und damit auch nicht Partei im Beschwerdeverfahren sein ( Art. 104 Abs. 1 lit. b, Art. 118 Abs. 1 und Art. 382 Abs. 1 StPO ).</w:t>
      </w:r>
    </w:p>
    <w:p>
      <w:r>
        <w:t>Der Beschwerdeführer bestreitet nicht, die Forderung am 3. Februar 2011 abgetreten zu haben. Er beruft sich jedoch darauf, dass er dies erst am 28. März 2011 dem Betreibungsamt mitgeteilt habe und dass er somit bis zu diesem Tag Forderungsinhaber gewesen sei. Die rechtsmissbräuchliche Weigerung der Leiterin des Betreibungsamts, das Geld auszuzahlen, habe also ihn betroffen. Zudem hafte er der Zessionarin gegenüber nach Art. 171 ff. OR .</w:t>
      </w:r>
    </w:p>
    <w:p>
      <w:r>
        <w:t>Der Beschwerdeführer verkennt, dass eine Forderung mit der Abtretung übergeht, nicht mit der Anzeige an den Schuldner (vgl. dazu Art. 167 OR ). Der angefochtene Entscheid ist insofern nicht zu beanstanden. Insofern, als sich der Beschwerdeführer darauf beruft, als haftender Zedent geschädigt worden zu sein, legt er nicht dar, worin dieser Schaden besteht ( Art. 42 Abs. 2 BGG ). Darauf ist nicht einzutreten.</w:t>
      </w:r>
    </w:p>
    <w:p>
      <w:r>
        <w:rPr>
          <w:b/>
        </w:rPr>
        <w:t>E. 3</w:t>
      </w:r>
    </w:p>
    <w:p>
      <w:r>
        <w:t>Die Beschwerde ist abzuweisen, soweit darauf einzutreten ist. Bei diesem Ausgang trägt der Beschwerdeführer die Gerichtskosten ( Art. 66 Abs. 1 BGG ). Es wird keine Parteientschädigung zugesprochen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