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1B_538/2019 vom 10. Dezember 2019</w:t>
      </w:r>
    </w:p>
    <w:p>
      <w:r>
        <w:t>Bundesgericht, 2019-12-10, FR</w:t>
      </w:r>
    </w:p>
    <w:p>
      <w:r>
        <w:rPr>
          <w:b/>
        </w:rPr>
        <w:t xml:space="preserve">Quelle: </w:t>
      </w:r>
      <w:r>
        <w:t>https://mcp.opencaselaw.ch/entscheid/bger_1B_538_2019</w:t>
      </w:r>
    </w:p>
    <w:p>
      <w:r>
        <w:t>FR: TF 1B_538/2019 du 10 décembre 2019</w:t>
      </w:r>
    </w:p>
    <w:p>
      <w:r>
        <w:t>IT: TF 1B_538/2019 del 10 dicembre 2019</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d'une constatation manifestement inexacte des faits.</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 art. 106 al. 2 LTF )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137 II 353 consid. 5.1 p. 356; 136 II 101 consid. 3 p. 105 et les arrêts cités).</w:t>
      </w:r>
    </w:p>
    <w:p>
      <w:r>
        <w:t>En l'espèce, le recourant fait grief à l'instance précédente d'avoir à tort retenu qu'il n'était pas assisté d'un conseil lors de son audition par la police le 5 décembre 2018 et que la condition de l'indigence n'avait pas été examinée par le Ministère public. Telle qu'elle est formulée, sa critique ne satisfait pas aux exigences de motivation précitées. En effet, le recourant n'expose pas en quoi une éventuelle correction de l'arrêt sur ces points serait susceptible d'influer sur le sort de la cause. Sa critique apparaît dès lors irrecevable. Cela étant, au vu des motifs exposés ci-dessous, ces éléments n'étaient pas déterminants.</w:t>
      </w:r>
    </w:p>
    <w:p>
      <w:r>
        <w:rPr>
          <w:b/>
        </w:rPr>
        <w:t>E. 3</w:t>
      </w:r>
    </w:p>
    <w:p>
      <w:r>
        <w:t>Le recourant se plaint du refus de l'instance précédente de lui désigner un avocat d'office, invoquant une violation des art. 132 CPP , et 29 Cst., ainsi que du principe de l'égalité des armes et du droit à un procès équitable ( art 6 CEDH ). Il soutient que la décision attaquée serait en outre arbitraire ( art. 9 Cst. ).</w:t>
      </w:r>
    </w:p>
    <w:p>
      <w:r>
        <w:rPr>
          <w:b/>
        </w:rPr>
        <w:t>E. 3.1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(arrêt 1B_93/2018 du 29 mai 2018 consid. 3.1 et les arrêts cités).</w:t>
      </w:r>
    </w:p>
    <w:p>
      <w:r>
        <w:t>Les critères énoncés par l'art. 132 al. 1, let. b, 2 et 3 CPP reprennent largement la jurisprudence du Tribunal fédéral en matière d'assistance judiciaire, rendue sur la base des art. 29 al. 3 Cst. et 6 ch. 3 let. c CEDH ( ATF 143 I 164 consid. 3.5; arrêt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w:t>
      </w:r>
    </w:p>
    <w:p>
      <w:r>
        <w:t>er juillet 2016 consid. 3.4). En revanche, lorsque l'infraction n'est manifestement qu'une cause bagatelle, en ce sens que son auteur ne s'expose qu'à une amende ou à une peine privative de liberté de courte durée, la jurisprudence considère que l'auteur n'a pas de droit constitutionnel à l'assistance judiciaire ( ATF 143 I 164 consid. 3.5 et les références citées).</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1B_93/2018 du 29 mai 2018 consid. 3.1; 1B_257/2013 du 28 octobre 2013 consid. 2.1 in SJ 2014 I p. 273).</w:t>
      </w:r>
    </w:p>
    <w:p>
      <w:r>
        <w:t>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 ATF 140 V 521 consid. 9.1 p. 537; arrêt 1B_257/2013 du 28 octobre 2013 consid. 2.1 in SJ 2014 I p. 273). La difficulté objective d'une cause est admise sur le plan juridique lorsque la subsomption des faits donne lieu à des doutes, que ce soit de manière générale ou dans le cas particulier (arrêt 1B_93/2018 du 29 mai 2018 consid. 3.1).</w:t>
      </w:r>
    </w:p>
    <w:p>
      <w:r>
        <w:t>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1B_93/2018 du 29 mai 2018 consid. 3.1).</w:t>
      </w:r>
    </w:p>
    <w:p>
      <w:r>
        <w:rPr>
          <w:b/>
        </w:rPr>
        <w:t>E. 3.2</w:t>
      </w:r>
    </w:p>
    <w:p>
      <w:r>
        <w:t>En l'occurrence, la Cour de justice a considéré que la cause ne présentait pas la gravité requise par l' art. 132 CPP . En effet, le recourant a été condamné à une peine pécuniaire de 80 jours-amende et le Ministère public a, après opposition de celui-ci, transmis son ordonnance pénale au Tribunal de police sans modifier la peine. De plus, la cause ne présentait pas de difficultés particulières, du point de vue de l'établissement des faits ou des questions juridiques soulevées, que le recourant ne pouvait résoudre seul; les faits et dispositions légales applicables étaient clairement circonscrites et ne présentaient aucune difficulté de compréhension ou d'application. Le fait qu'il ne maîtrisait pas le français ne justifiait pas la désignation d'un défenseur, mais le recours à un traducteur. La Cour de justice a relevé que le prévenu avait parfaitement compris ce qui lui était reproché et avait donné des explications précises à la police, sans l'aide d'un conseil. Il n'y avait pas de connexité prépondérante entre la procédure pénale et les autres procédures (celle relative à l'annulation de son mariage et celle relative à l'octroi d'un permis de séjour). Enfin, le fait que la partie plaignante était assistée d'un avocat n'était pas, à lui seul, de nature à démontrer une violation du principe de l'égalité des armes; selon l'instance précédente, le recourant devait établir être en situation de net désavantage par rapport à la partie plaignante qui l'accusait de menaces et voies de fait, ce qui n'était pas le cas en l'espèce.</w:t>
      </w:r>
    </w:p>
    <w:p>
      <w:r>
        <w:t>Le recourant critique cette appréciation. Il soutient que l'intervention d'un avocat était nécessaire, compte tenu du fait que le dossier était relativement volumineux pour des accusations de violence conjugale, qu'il devait déterminer les moyens de preuve nécessaires à sa défense (audition de témoins, voire des auteurs des témoignages écrits produits par la plaignante), qu'il était arrivé en Suisse en 2017, en provenance de Cuba, qu'il connaissait mal le système juridique suisse et qu'il ne maîtrisait pas suffisamment le français. En outre, il soutient que l'issue de la procédure avait une importance particulière, compte tenu des procédures actuellement pendantes en annulation de mariage et d'octroi de permis de séjour. Le recourant invoque également le fait que la partie plaignante est assistée par un avocat d'office nommé par le Ministère public.</w:t>
      </w:r>
    </w:p>
    <w:p>
      <w:r>
        <w:rPr>
          <w:b/>
        </w:rPr>
        <w:t>E. 3.3</w:t>
      </w:r>
    </w:p>
    <w:p>
      <w:r>
        <w:t>Par ordonnance pénale du 17 juin 2019, le recourant a été condamné à une peine pécuniaire de 80 jours-amende à 30 francs le jour, avec sursis pendant trois ans, ainsi qu'à une amende de 500 francs, la peine privative de liberté de substitution étant fixée à 5 jours. La peine pécuniaire est certes inférieure au seuil de 120 jours-amende énoncé à l' art. 132 al. 3 CPP , à partir duquel une cause ne saurait être considérée comme étant de peu de gravité. Le fait que la peine pécuniaire n'atteint pas le seuil fixé par cette disposition, tout comme la peine privative de liberté de substitution de 5 jours en cas de non-paiement de l'amende, ne permet cependant pas d'admettre automatiquement l'existence d'un cas de peu de gravité (cf. ATF 143 I 164 consid. 3.6; arrêts 1B_167/2016 du 1</w:t>
      </w:r>
    </w:p>
    <w:p>
      <w:r>
        <w:t>er juillet 2016 consid. 3.5). En l'occurrence, les circonstances du cas d'espèce commandaient toutefois l'assistance d'un défenseur d'office. En effet, la partie plaignante a été mise au bénéfice de l'assistance d'un avocat d'office, le Ministère public ayant considéré que la défense des intérêts de celle-ci l'exigeait. Le principe d'égalité des armes justifie en l'espèce la désignation d'un avocat d'office également au recourant (cf. arrêt 1B_224/2013 du 27 août 2013 consid. 2.3 et les réf. cit., en particulier arrêt 1P.14/2005 consid. 3.4, publié in Pra 2006 n° 2 p. 9). Contrairement à ce que soutient la Cour de justice, le recourant n'a pas besoin de se trouver en situation de net désavantage par rapport à la plaignante (cf. arrêt 1B_224/2013 précité consid. 2.3). De plus, la cause n'est pas dénuée de toute complexité puisque le recourant - arrivé en Suisse récemment et ne maîtrisant pas le français - conteste l'intégralité des faits qui lui sont reprochés.</w:t>
      </w:r>
    </w:p>
    <w:p>
      <w:r>
        <w:t>Quant à la condition de l'indigence, elle a été jugée plausible par l'instance précédente. Il ressorten l'occurrence des pièces figurant au dossier que le recourant est au bénéfice de l'aide sociale (cf. procès-verbal des auditions du recourant des 5 décembre 2018 et 24 septembre 2019; attestation d'aide financière chiffrée de l'Hospice général du 9 juillet 2018. Il convient dès lors d'admettre que le recourant ne dispose pas des moyens nécessaires à la rémunération d'un défenseur d'office.</w:t>
      </w:r>
    </w:p>
    <w:p>
      <w:r>
        <w:rPr>
          <w:b/>
        </w:rPr>
        <w:t>E. 3.4</w:t>
      </w:r>
    </w:p>
    <w:p>
      <w:r>
        <w:t>Partant, en refusant d'octroyer l'assistance judiciaire au recourant, la Cour de justice a violé le droit fédéral ( art. 132 al. 1 let. b CPP ) et ce grief doit être admis.</w:t>
      </w:r>
    </w:p>
    <w:p>
      <w:r>
        <w:rPr>
          <w:b/>
        </w:rPr>
        <w:t>E. 4</w:t>
      </w:r>
    </w:p>
    <w:p>
      <w:r>
        <w:t>Il s'ensuit que le recours est admis et l'arrêt attaqué annulé. Le Tribunal fédéral statue lui-même sur le fond ( art. 107 al. 2 LTF ). L'assistance judiciaire gratuite est accordée au recourant pour la procédure P/3172/2019 avec effet dès le 4 septembre 2019 et Me Isabelle Poncet est désignée en tant qu'avocate d'office.</w:t>
      </w:r>
    </w:p>
    <w:p>
      <w:r>
        <w:t>Le recourant, qui obtient gain de cause avec l'assistance d'une avocate, a droit à des dépens pour les procédures cantonale et fédérale à la charge de la République et canton de Genève ( art. 68 al. 1 et 5 LTF ). Il n'est pas perçu de frais judiciaires ( art. 66 al. 4 LTF ). La requête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