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537/2020 vom 22. Oktober 2020</w:t>
      </w:r>
    </w:p>
    <w:p>
      <w:r>
        <w:t>Bundesgericht, 2020-10-22, DE</w:t>
      </w:r>
    </w:p>
    <w:p>
      <w:r>
        <w:rPr>
          <w:b/>
        </w:rPr>
        <w:t xml:space="preserve">Quelle: </w:t>
      </w:r>
      <w:r>
        <w:t>https://mcp.opencaselaw.ch/entscheid/bger_1B_537_2020</w:t>
      </w:r>
    </w:p>
    <w:p>
      <w:r>
        <w:t>FR: TF 1B 537/2020 du 22 octobre 2020</w:t>
      </w:r>
    </w:p>
    <w:p>
      <w:r>
        <w:t>IT: TF 1B 537/2020 del 22 ottobre 2020</w:t>
      </w:r>
    </w:p>
    <w:p>
      <w:pPr>
        <w:pStyle w:val="Heading2"/>
      </w:pPr>
      <w:r>
        <w:t>Regeste</w:t>
      </w:r>
    </w:p>
    <w:p>
      <w:r>
        <w:t>Strafverfahren; Sistierung | Strafprozess</w:t>
      </w:r>
    </w:p>
    <w:p>
      <w:pPr>
        <w:pStyle w:val="Heading2"/>
      </w:pPr>
      <w:r>
        <w:t>Erwägungen</w:t>
      </w:r>
    </w:p>
    <w:p>
      <w:r>
        <w:rPr>
          <w:b/>
        </w:rPr>
        <w:t>E. 1</w:t>
      </w:r>
    </w:p>
    <w:p>
      <w:r>
        <w:t>Am 14. August 2020 wies die Staatsanwaltschaft des Kantons Solothurn im Strafverfahren STA.2019.784 den Antrag von A.________, das Verfahren zu sistieren, ab. Auf die von A.________ dagegen erhoben Beschwerde trat das Obergericht des Kantons Solothurn am 4. September 2020 nicht ein. Mit Beschwerde vom 28. September 2020 beantragt A.________ u.a. sinngemäss, diesen Entscheid aufzuheben und das Verfahren zu sistieren. Vernehmlassungen wurden keine eingeholt.</w:t>
      </w:r>
    </w:p>
    <w:p>
      <w:r>
        <w:rPr>
          <w:b/>
        </w:rPr>
        <w:t>E. 2</w:t>
      </w:r>
    </w:p>
    <w:p>
      <w:r>
        <w:t>Angefochten ist ein kantonal letztinstanzlicher Entscheid, mit dem das Obergericht auf eine Beschwerde gegen die Abweisung eines Sistierungsgesuchs nicht eingetreten ist;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 Der Beschwerdeführer setzt sich mit dem angefochtenen Entscheid nicht sachgerecht auseinander und legt nicht dar, inwiefern dieser einen nicht wiedergutzumachenden Nachteil bewirken könnte. Das ist auch nicht ersichtlich. Auf die Beschwerde ist im vereinfachten Verfahren wegen Verletzung der Begründungspflicht nicht einzutreten.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