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1B_537/2018 vom 13. März 2019</w:t>
      </w:r>
    </w:p>
    <w:p>
      <w:r>
        <w:t>Bundesgericht, 2019-03-13, DE</w:t>
      </w:r>
    </w:p>
    <w:p>
      <w:r>
        <w:rPr>
          <w:b/>
        </w:rPr>
        <w:t xml:space="preserve">Quelle: </w:t>
      </w:r>
      <w:r>
        <w:t>https://mcp.opencaselaw.ch/entscheid/bger_1B_537_2018</w:t>
      </w:r>
    </w:p>
    <w:p>
      <w:r>
        <w:t>FR: TF 1B_537/2018 du 13 mars 2019</w:t>
      </w:r>
    </w:p>
    <w:p>
      <w:r>
        <w:t>IT: TF 1B_537/2018 del 13 marzo 2019</w:t>
      </w:r>
    </w:p>
    <w:p>
      <w:pPr>
        <w:pStyle w:val="Heading2"/>
      </w:pPr>
      <w:r>
        <w:t>Erwägungen</w:t>
      </w:r>
    </w:p>
    <w:p>
      <w:r>
        <w:rPr>
          <w:b/>
        </w:rPr>
        <w:t>E. 1</w:t>
      </w:r>
    </w:p>
    <w:p>
      <w:r>
        <w:t>Soweit die Vorinstanz die Parteistellung der Beschwerdeführerinnen im Entsiegelungsverfahren verneint und ihnen keine Teilnahmerechte eingeräumt hat, sind die Beschwerdeführerinnen aus verfahrensrechtlichen Gründen beschwerdelegitimiert und droht ihnen ein nicht wieder gutzumachender Rechtsnachteil ( Art. 81 Abs. 1 lit. a und Art. 93 Abs. 1 lit. a BGG ; vgl. Urteil 1B_487/2018 vom 6. Februar 2019 E. 1).</w:t>
      </w:r>
    </w:p>
    <w:p>
      <w:r>
        <w:t>Auch die übrigen Sachurteilsvoraussetzungen von Art. 78 ff. BGG sind grundsätzlich erfüllt.</w:t>
      </w:r>
    </w:p>
    <w:p>
      <w:r>
        <w:rPr>
          <w:b/>
        </w:rPr>
        <w:t>E. 2.1</w:t>
      </w:r>
    </w:p>
    <w:p>
      <w:r>
        <w:t>Die Vorinstanz hat die Parteistellung des beschuldigten Rechtsanwalts und von dessen Sekretärin als Inhaber der unter Siegel sichergestellten Daten und Gegenstände anerkannt (angefochtenes Teilurteil vom 25. Oktober 2018 E. 2). Die beiden ebenfalls in der gleichen Kanzlei tätigen Rechtsanwälte (vgl. auch Sachverhalt lit. A. hiervor) hat die Vorinstanz als weitere Verfahrensbeteiligte ins Entsiegelungsverfahren miteinbezogen (angefochtenes Teilurteil vom 25. Oktober 2018 E. 3).</w:t>
      </w:r>
    </w:p>
    <w:p>
      <w:r>
        <w:t>Betreffend die beiden Beschwerdeführerinnen hat die Vorinstanz erwogen, diese beiden "Trustees" (Verwalterinnen von Trustvermögen) seien nicht Inhaberinnen der unter Siegel sichergestellten Aufzeichnungen oder Gegenstände. Sie seien durch die Hausdurchsuchung in der Anwaltskanzlei auch nicht in ihren rechtlich geschützten Interessen unmittelbar tangiert. Die Legitimation sei deshalb zu verneinen (angefochtenes Teilurteil vom 25. Oktober 2018 E. 4).</w:t>
      </w:r>
    </w:p>
    <w:p>
      <w:r>
        <w:rPr>
          <w:b/>
        </w:rPr>
        <w:t>E. 2.2</w:t>
      </w:r>
    </w:p>
    <w:p>
      <w:r>
        <w:t>Die Beschwerdeführerinnen führen aus, es sei von ihnen nie behauptet worden, dass sie Inhaberinnen der Aufzeichnungen seien. Sie würden sich vielmehr darauf berufen, dass Berufs- und Geschäftsgeheimnisse der Entsiegelung entgegenstehen könnten. Eine genauere Substanziierung sei ihnen nicht möglich oder zumutbar, da sie nicht wüssten, was für Daten und Gegenstände sichergestellt worden seien. Entscheidend sei, dass nicht ausgeschlossen werden könne, dass sich darunter Unterlagen befänden, welche ihre Berufs- und Geschäftsgeheimnisse beschlagen könnten und deshalb im Entsiegelungsverfahren auszusondern seien.</w:t>
      </w:r>
    </w:p>
    <w:p>
      <w:r>
        <w:rPr>
          <w:b/>
        </w:rPr>
        <w:t>E. 2.3</w:t>
      </w:r>
    </w:p>
    <w:p>
      <w:r>
        <w:t>Parteien des Entsiegelungsverfahrens sind grundsätzlich nur die verfahrensleitende (das Entsiegelungsgesuch stellende) Strafuntersuchungsbehörde (Staatsanwaltschaft) sowie die Inhaberin oder der Inhaber der versiegelten Aufzeichnungen und Gegenstände. Stellt die Staatsanwaltschaft beim zuständigen Entsiegelungsgericht den Antrag, die versiegelten Unterlagen seien zu entsiegeln, prüft das Gericht im Untersuchungsverfahren, ob Geheimnisschutzinteressen (oder andere gesetzliche Entsiegelungshindernisse), welche von der Inhaberin oder vom Inhaber der versiegelten Aufzeichnungen und Gegenstände angerufen werden, einer Durchsuchung entgegenstehen (vgl. Art. 248 Abs. 1 und Abs. 3 StPO ).</w:t>
      </w:r>
    </w:p>
    <w:p>
      <w:r>
        <w:t>Nach der Praxis des Bundesgerichts kann die Befugnis,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(vgl. BGE 140 IV 28 E. 4.3.4 S. 35 ff.).</w:t>
      </w:r>
    </w:p>
    <w:p>
      <w:r>
        <w:t>Es besteht eine prozessuale Obliegenheit, die angerufenen Geheimhaltungsinteressen ( Art. 248 Abs. 1 StPO ) ausreichend zu substanziieren. Kommt die betroffene Person dieser Mitwirkungs- und Substanziierungsobliegenheit nicht nach, sind die Gerichte nicht gehalten, von Amtes wegen nach allfälligen gesetzlich geschützten Geheimnisgründen zu forschen. Tangierte Geheimnisinteressen sind wenigstens kurz zu umschreiben und glaubhaft zu machen (vgl. hierzu Urteil 1B_453/2018 vom 6. Februar 2019 E. 6.1; BGE 137 IV 189 E. 4.2 S. 195, E. 5.3.3 S. 199).</w:t>
      </w:r>
    </w:p>
    <w:p>
      <w:r>
        <w:rPr>
          <w:b/>
        </w:rPr>
        <w:t>E. 2.4</w:t>
      </w:r>
    </w:p>
    <w:p>
      <w:r>
        <w:t>Die Beschwerdeführerinnen sind unbestrittenermassen nicht Inhaberinnen der in der Anwaltskanzlei des Beschuldigten sichergestellten Daten und Gegenstände. Eine Zulassung der Beschwerdeführerinnen als Partei des vorinstanzlichen Entsiegelungsverfahrens wäre - nach der oben dargelegten gesetzlichen Regelung und der einschlägigen Praxis des Bundesgerichts - somit nur ausnahmsweise in Frage gekommen, sofern die Beschwerdeführerinnen eigene gesetzlich geschützte Geheimnisrechte ausreichend dargetan hätten (vgl. Urteil 1B_487/2018 vom 6. Februar 2019 E. 2.6).</w:t>
      </w:r>
    </w:p>
    <w:p>
      <w:r>
        <w:t>Zwar ist den Beschwerdeführerinnen als Nicht-Inhaberinnen nicht bekannt, welche Daten und Gegenstände im Einzelnen in der Anwaltskanzlei sichergestellt worden sind. Dies entbindet sie jedoch nicht davon, zu substanziieren, inwieweit eigene Geheimhaltungsinteressen konkret tangiert sein könnten (vgl. Urteil 1B_196/2018 vom 26. November 2018 E. 1.4). Mit ihrem pauschalen Hinweis auf mögliche Berufs- und Geschäftsgeheimnisse haben die Beschwerdeführerinnen in keiner Weise dargetan bzw. glaubhaft gemacht, dass sie sich - trotz fehlender Inhaberschaft an den versiegelten Unterlagen - ausnahmsweise auf eigene gesetzlich geschützte Geheimnisgründe berufen können. Folglich hat die Vorinstanz kein Bundesrecht verletzt, indem sie die Parteistellung der Beschwerdeführerinnen verneint hat (vgl. auch Urteil 1B_487/2018 vom 6. Februar 2019 E. 2.8).</w:t>
      </w:r>
    </w:p>
    <w:p>
      <w:r>
        <w:rPr>
          <w:b/>
        </w:rPr>
        <w:t>E. 3</w:t>
      </w:r>
    </w:p>
    <w:p>
      <w:r>
        <w:t>Die Beschwerde ist demzufolge abzuweisen.</w:t>
      </w:r>
    </w:p>
    <w:p>
      <w:r>
        <w:t>Die Gerichtskosten sind den Beschwerdeführerinnen aufzuerlegen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