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1B_536/2021 vom 28. Januar 2022</w:t>
      </w:r>
    </w:p>
    <w:p>
      <w:r>
        <w:t>Bundesgericht, 2022-01-28, FR</w:t>
      </w:r>
    </w:p>
    <w:p>
      <w:r>
        <w:rPr>
          <w:b/>
        </w:rPr>
        <w:t xml:space="preserve">Quelle: </w:t>
      </w:r>
      <w:r>
        <w:t>https://mcp.opencaselaw.ch/entscheid/bger_1B_536_2021</w:t>
      </w:r>
    </w:p>
    <w:p>
      <w:r>
        <w:t>FR: TF 1B_536/2021 du 28 janvier 2022</w:t>
      </w:r>
    </w:p>
    <w:p>
      <w:r>
        <w:t>IT: TF 1B_536/2021 del 28 gennaio 2022</w:t>
      </w:r>
    </w:p>
    <w:p>
      <w:pPr>
        <w:pStyle w:val="Heading2"/>
      </w:pPr>
      <w:r>
        <w:t>Erwägungen</w:t>
      </w:r>
    </w:p>
    <w:p>
      <w:r>
        <w:rPr>
          <w:b/>
        </w:rPr>
        <w:t>E. 1</w:t>
      </w:r>
    </w:p>
    <w:p>
      <w:r>
        <w:t>Conformément aux art. 78, 79 et 92 al. 1 LTF , une décision cantonale relative à la récusation d'un magistrat pénal peut faire immédiatement l'objet d'un recours en matière pénale. Le recourant,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présentées sont recevables ( art. 107 al. 2 LTF ). Il y a donc lieu d'entrer en matière.</w:t>
      </w:r>
    </w:p>
    <w:p>
      <w:r>
        <w:rPr>
          <w:b/>
        </w:rPr>
        <w:t>E. 2</w:t>
      </w:r>
    </w:p>
    <w:p>
      <w:r>
        <w:t>A teneur de l' art. 99 LTF , aucun fait nouveau ni preuve nouvelle ne peut être présenté à moins de résulter de la décision de l'autorité précédente. Le courriel du 14 septembre 2021 d'un journaliste présent à l'audience du 10 juin 2021, dont se prévaut le recourant dans son recours, est postérieur au prononcé de l'arrêt attaqué. Il s'agit donc d'un vrai</w:t>
      </w:r>
    </w:p>
    <w:p>
      <w:r>
        <w:t>novum , qui échappe à la cognition du Tribunal fédéral. Il n'en sera par conséquent pas tenu compte.</w:t>
      </w:r>
    </w:p>
    <w:p>
      <w:r>
        <w:rPr>
          <w:b/>
        </w:rPr>
        <w:t>E. 3</w:t>
      </w:r>
    </w:p>
    <w:p>
      <w:r>
        <w:t>Le recourant fait d'abord valoir que sa demande de récusation n'est pas tardive.</w:t>
      </w:r>
    </w:p>
    <w:p>
      <w:r>
        <w:rPr>
          <w:b/>
        </w:rPr>
        <w:t>E. 3.1</w:t>
      </w:r>
    </w:p>
    <w:p>
      <w:r>
        <w:t>Conformément à l' art. 58 al. 1 CPP , la récusation doit être demandée sans délai, dès que la partie a connaissance du motif de récusation, c'est-à-dire dans les jours qui suivent la connaissance de la cause de récusation, sous peine de déchéance ( ATF 140 I 271 consid. 8.4.3). Il est en effet contraire aux règles de la bonne foi de garder ce moyen en réserve pour ne l'invoquer qu'en cas d'issue défavorable ou lorsque l'intéressé se serait rendu compte que l'instruction ne suivait pas le cours désiré ( ATF 143 V 66 consid. 4.3; arrêt 1B_367/2021 du 29 novembre 2021 consid. 2.1).</w:t>
      </w:r>
    </w:p>
    <w:p>
      <w:r>
        <w:t>De jurisprudence constante, les réquisits temporels de cette disposition sont satisfaits lorsque la demande de récusation est déposée dans les six et sept jours qui suivent la connaissance de la cause de récusation, mais qu'en revanche, ils ne le sont pas lorsqu'elle est formée trois mois, deux mois, deux à trois semaines ou vingt jours après que son auteur a pris connaissance du motif de récusation (arrêts 1B_367/2021 du 29 novembre 2021 consid. 2.1 et les arrêts cités). Pour procéder à cette appréciation, il convient notamment de prendre en compte les circonstances d'espèce, ainsi que le stade de la procédure; considérer que le droit de demander la récusation est perdu doit être apprécié avec retenue (arrêt 1B_647/2020 du 20 mai 2021 consid. 2.1 et les références citées). En particulier, selon notamment la fréquence des actes d'instruction, on peut se montrer plus large dans le temps de réaction lorsque le moment déterminant intervient dans une phase moins active de la procédure (arrêt 1B_227/2013 du 15 octobre 2013 consid. 2.1).</w:t>
      </w:r>
    </w:p>
    <w:p>
      <w:r>
        <w:rPr>
          <w:b/>
        </w:rPr>
        <w:t>E. 3.2</w:t>
      </w:r>
    </w:p>
    <w:p>
      <w:r>
        <w:t>En l'espèce, il n'est pas contesté que les éléments avancés à l'appui de la requête de récusation du 16 juin 2021 se seraient déroulés lors de l'audience du 10 juin 2021 et qu'ils étaient connus depuis ce jour-là. La requête a ainsi été déposée six jours après la séance litigieuse. Il eût certes été préférable que le recourant soit intervenu le jour de l'audience pour déposer sa demande de récusation; le dépôt six jours plus tard n'est cependant pas contraire à l' art. 58 al. 1 CPP et à la jurisprudence y relative.</w:t>
      </w:r>
    </w:p>
    <w:p>
      <w:r>
        <w:rPr>
          <w:b/>
        </w:rPr>
        <w:t>E. 4</w:t>
      </w:r>
    </w:p>
    <w:p>
      <w:r>
        <w:t>Le recourant reproche encore à l'instance précédente d'avoir rejeté la demande de récusation de la Juge intimée. Il se plaint d'une violation de l' art. 56 let . f CPP.</w:t>
      </w:r>
    </w:p>
    <w:p>
      <w:r>
        <w:rPr>
          <w:b/>
        </w:rPr>
        <w:t>E. 4.1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L'impartialité subjective d'un magistrat se présume jusqu'à preuve du contraire ( ATF 136 III 605 consid. 3.2.1).</w:t>
      </w:r>
    </w:p>
    <w:p>
      <w:r>
        <w:rPr>
          <w:b/>
        </w:rPr>
        <w:t>E. 4.2</w:t>
      </w:r>
    </w:p>
    <w:p>
      <w:r>
        <w:t>En l'espèce, le recourant voit un motif de prévention de la magistrate intimée en ce qu'elle aurait rédigé le dispositif du jugement avant la fin de l'instruction et avant les plaidoiries. Il lui fait grief d'avoir lu le dispositif immédiatement après les plaidoiries finales, sans même une pause de quelques secondes, ce qui créerait une apparence de prévention.</w:t>
      </w:r>
    </w:p>
    <w:p>
      <w:r>
        <w:t>Bien qu'un juge se doive de connaître son dossier avant la fin de l'instruction et qu'il soit acceptable qu'il prépare des projets de dispositif différents, il ne peut pas délibérer à l'avance. Ainsi la lecture du dispositif immédiatement après la fin des plaidoiries peut fonder, au moins en apparence, une suspicion de partialité. Cela se comprend d'autant plus que l' art. 348 al. 1 CPP prévoit que le tribunal se retire pour délibérer à huis clos, après la clôture des débats. Le tribunal ne peut donc pas, même s'il s'agit d'un juge unique, délibérer sur le siège (OLIVIER JORNOT, Commentaire romand CPP, 2ème éd., 2019, ad art. 348 N 1). De plus, l' art. 348 al. 2 CPP prévoit que le greffier prend part à la délibération avec voix consultative. Le juge unique doit pouvoir délibérer avec son greffier; l'absence du greffier a pour conséquence que la composition du tribunal n'est pas conforme à la loi (JORNOT, op. cit., ad art. 348 CPP N 6; MOREILLON/PAREIN REYMOND, Petit commentaire CPP, 2ème éd., 2016, ad art. 348 CPP N 9; SCHMID/JOSITSCH, StPO Praxiskommentar, 3ème éd., 2018, ad art. 348 N 4; HEIMGARTNER/NIGGLI, Basler Kommentar CPP, 2ème éd., 2014, ad art. 348 N 13a et 14).</w:t>
      </w:r>
    </w:p>
    <w:p>
      <w:r>
        <w:t>La délibération doit donc avoir lieu après la clôture des débats, en présence du greffier. Il n'est dès lors pas possible, comme l'a retenu l'instance précédente, de considérer que la Juge intimée aurait eu l'occasion de délibérer pendant les suspensions d'audience. En effet, le fait que différentes suspensions d'audience (40 minutes en tout) ont eu lieu avant la clôture des débats (même avant la clôture de la procédure probatoire) n'a qu'une incidence très limitée sur la délibération elle-même.</w:t>
      </w:r>
    </w:p>
    <w:p>
      <w:r>
        <w:rPr>
          <w:b/>
        </w:rPr>
        <w:t>E. 4.3</w:t>
      </w:r>
    </w:p>
    <w:p>
      <w:r>
        <w:t>Il apparaît ainsi justifié de redouter - vu les apparences données - une activité partiale de la magistrate intimée qui a lu le dispositif du jugement immédiatement après les plaidoiries, sans s'être au préalable retirée avec son greffier pour délibérer. Cela suffit à sceller le sort du recours. Il n'y a ainsi pas lieu d'examiner les autres critiques du recourant soulevées à l'encontre de la Juge Dominé.</w:t>
      </w:r>
    </w:p>
    <w:p>
      <w:r>
        <w:t>Partant, la cour cantonale a violé le droit fédéral en rejetant la requête de récusation ( art. 56 let . f CPP) et ce grief doit être admis.</w:t>
      </w:r>
    </w:p>
    <w:p>
      <w:r>
        <w:rPr>
          <w:b/>
        </w:rPr>
        <w:t>E. 5</w:t>
      </w:r>
    </w:p>
    <w:p>
      <w:r>
        <w:t>Par conséquent, le recours est admis. L'arrêt attaqué est annulé et la demande de récusation de la Juge intimée est admise.</w:t>
      </w:r>
    </w:p>
    <w:p>
      <w:r>
        <w:t>Le recourant, qui obtient gain de cause avec l'assistance d'un avocat, a droit à des dépens pour les procédures fédérale et cantonale à la charge du canton de Neuchâtel ( art. 68 al. 1 et 5 LTF ).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