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536/2019 vom 14. Januar 2020</w:t>
      </w:r>
    </w:p>
    <w:p>
      <w:r>
        <w:t>Bundesgericht, 2020-01-14, DE</w:t>
      </w:r>
    </w:p>
    <w:p>
      <w:r>
        <w:rPr>
          <w:b/>
        </w:rPr>
        <w:t xml:space="preserve">Quelle: </w:t>
      </w:r>
      <w:r>
        <w:t>https://mcp.opencaselaw.ch/entscheid/bger_1B_536_2019</w:t>
      </w:r>
    </w:p>
    <w:p>
      <w:r>
        <w:t>FR: TF 1B 536/2019 du 14 janvier 2020</w:t>
      </w:r>
    </w:p>
    <w:p>
      <w:r>
        <w:t>IT: TF 1B 536/2019 del 14 gennaio 2020</w:t>
      </w:r>
    </w:p>
    <w:p>
      <w:pPr>
        <w:pStyle w:val="Heading2"/>
      </w:pPr>
      <w:r>
        <w:t>Regeste</w:t>
      </w:r>
    </w:p>
    <w:p>
      <w:r>
        <w:t>Anwaltsaufsicht; Ablehnungsbegehren | Zuständigkeitsfragen, Garantie des Wohnsitzrichters und des v...</w:t>
      </w:r>
    </w:p>
    <w:p>
      <w:pPr>
        <w:pStyle w:val="Heading2"/>
      </w:pPr>
      <w:r>
        <w:t>Erwägungen</w:t>
      </w:r>
    </w:p>
    <w:p>
      <w:r>
        <w:rPr>
          <w:b/>
        </w:rPr>
        <w:t>E. 1.1</w:t>
      </w:r>
    </w:p>
    <w:p>
      <w:r>
        <w:t>Im vorliegenden Fall geht es in der Sache um die anwaltsrechtliche Befreiung vom Berufsgeheimnis und damit um ein verwaltungsrechtliches Verfahren. Dafür fällt grundsätzlich die Beschwerde in öffentlich-rechtlichen Angelegenheiten nach Art. 82 ff. BGG in Betracht. Beim angefochtenen Urteil handelt es sich um einen kantonal letztinstanzlichen, selbständig eröffneten Zwischenentscheid über ein Ausstandsbegehren, gegen den gemäss Art. 86 Abs. 1 lit. d und Art. 92 Abs. 2 BGG die Beschwerde an das Bundesgericht zulässig ist. Die Beschwerdeführerin ist nach Art. 89 Abs. 1 BGG zur Beschwerde legitimiert.</w:t>
      </w:r>
    </w:p>
    <w:p>
      <w:r>
        <w:rPr>
          <w:b/>
        </w:rPr>
        <w:t>E. 1.2</w:t>
      </w:r>
    </w:p>
    <w:p>
      <w:r>
        <w:t>Streitgegenstand bildet einzig das Ausstandsbegehren im kantonalen Verfahren 100.2019.195 betreffend die Befreiung vom Berufsgeheimnis. Soweit sich die Beschwerdeführerin auf das ebenfalls vor dem Verwaltungsgericht hängige Parallelverfahren 100.2019.183 im Zusammenhang mit dem Diszplinarverfahren beruft, ist darauf nicht einzutreten. Dies gilt namentlich für die Frage der Verfahrensleitung im Disziplinarverfahren.</w:t>
      </w:r>
    </w:p>
    <w:p>
      <w:r>
        <w:rPr>
          <w:b/>
        </w:rPr>
        <w:t>E. 1.3</w:t>
      </w:r>
    </w:p>
    <w:p>
      <w:r>
        <w:t>Mit der Beschwerde an das Bundesgericht kann, von hier nicht interessierenden sonstigen Möglichkeiten abgesehen, nur die Verletzung von Bundesrecht gerügt werden ( Art. 95 lit. a BGG ). Soweit die Beschwerdeführerin kantonales Recht geltend macht, ohne gleichzeitig eine Verletzung von Bundesrecht darzulegen, kann auf die Beschwerde daher nicht eingetreten werden.</w:t>
      </w:r>
    </w:p>
    <w:p>
      <w:r>
        <w:rPr>
          <w:b/>
        </w:rPr>
        <w:t>E. 1.4</w:t>
      </w:r>
    </w:p>
    <w:p>
      <w:r>
        <w:t>Das Bundesgericht legt seinem Urteil den Sachverhalt zugrunde, den die Vorinstanz festgestellt hat ( Art. 105 Abs. 1 BGG ). Es kann die Sachverhaltsfeststellung der Vorinstanz von Amtes wegen berichtigen oder ergänzen, wenn sie offensichtlich unrichtig, d.h. willkürlich, ist oder auf einer Rechtsverletzung im Sinne von Artikel 95 beruht ( Art. 105 Abs. 2 BGG ).</w:t>
      </w:r>
    </w:p>
    <w:p>
      <w:r>
        <w:rPr>
          <w:b/>
        </w:rPr>
        <w:t>E. 2</w:t>
      </w:r>
    </w:p>
    <w:p>
      <w:r>
        <w:t>Die Beschwerdeführerin wirft verschiedene Fragen zum bundesgerichtlichen Verfahren auf.</w:t>
      </w:r>
    </w:p>
    <w:p>
      <w:r>
        <w:rPr>
          <w:b/>
        </w:rPr>
        <w:t>E. 2.1</w:t>
      </w:r>
    </w:p>
    <w:p>
      <w:r>
        <w:t>Dass Verfügungen über die Einholung von Vernehmlassungen bei den übrigen Verfahrensbeteiligten den Beschwerdeführern nicht zugestellt werden, ist üblich und verletzt deren Parteirechte nicht.</w:t>
      </w:r>
    </w:p>
    <w:p>
      <w:r>
        <w:rPr>
          <w:b/>
        </w:rPr>
        <w:t>E. 2.2</w:t>
      </w:r>
    </w:p>
    <w:p>
      <w:r>
        <w:t>Genauso wenig teilt das Bundesgericht den Verfahrensbeteiligten in der Regel die Besetzung des Spruchkörpers vorweg mit. Die Namen der Bundesrichterinnen und -richter sowie der Gerichtsschreibenden sind öffentlich und können wie die Zusammensetzung der Abteilungen dem Staatskalender bzw. der Internetseite des Bundesgerichts entnommen werden. Allfällige Ablehnungsgründe können vorweg geltend gemacht werden.</w:t>
      </w:r>
    </w:p>
    <w:p>
      <w:r>
        <w:rPr>
          <w:b/>
        </w:rPr>
        <w:t>E. 2.3</w:t>
      </w:r>
    </w:p>
    <w:p>
      <w:r>
        <w:t>Die Beschwerdeführerin verlangt die Zustellung der dem Bundesgericht von der Vorinstanz eingereichten Aktendossiers 100.2019.183, 100.2019.195 sowie 100.2019.312. Im vorliegenden Verfahren unterstehen an sich nur die beiden letzten dem Streitgegenstand. So oder so handelt es sich jedoch nicht um neu beigezogene Verfahrensakten, sondern um solche, welche der an allen diesen Verfahren beteiligten Beschwerdeführerin bereits bekannt sind. Zudem hätte sie die Gelegenheit gehabt, darin im Bedarfsfall bei der Vorinstanz vor Beschwerdeerhebung Einsicht zu nehmen. Es besteht kein Grund, der Beschwerdeführerin diese Akten zuzustellen. Erst recht nicht ersichtlich ist, weshalb ihr ein zusätzliches Exemplar des angefochtenen Entscheids, welches das Bundesgericht von der Vorinstanz verlangt hatte, zuzustellen wäre.</w:t>
      </w:r>
    </w:p>
    <w:p>
      <w:r>
        <w:rPr>
          <w:b/>
        </w:rPr>
        <w:t>E. 2.4</w:t>
      </w:r>
    </w:p>
    <w:p>
      <w:r>
        <w:t>Da Thomas Häberli, dessen Ausstand die Beschwerdeführerin beantragt, dem Bundesgericht keine Stellungnahme eingereicht hat, kann auch ihrem Anliegen nicht entsprochen werden, ihr eine solche Vernehmlassung zuzustellen.</w:t>
      </w:r>
    </w:p>
    <w:p>
      <w:r>
        <w:rPr>
          <w:b/>
        </w:rPr>
        <w:t>E. 3.1</w:t>
      </w:r>
    </w:p>
    <w:p>
      <w:r>
        <w:t>Gemäss Art. 42 Abs. 2 BGG ist in der Begründung in gedrängter Form darzulegen, inwiefern der angefochtene Akt Recht verletzt. Strengere Anforderungen gelten, wenn die Verletzung von Grundrechten (einschliesslich der willkürlichen Anwendung von kantonalem Recht und Willkür bei der Sachverhaltsfeststellung) geltend gemacht wird. Dies prüft das Bundesgericht grundsätzlich nur insoweit, als eine solche Rüge in der Beschwerde vorgebracht und begründet worden ist ( Art. 106 Abs. 2 BGG ; BGE 138 I 171 E. 1.4 S. 176; 135 III 127 E. 1.6 S. 130; 133 II 249 E. 1.4 S. 254 f.).</w:t>
      </w:r>
    </w:p>
    <w:p>
      <w:r>
        <w:rPr>
          <w:b/>
        </w:rPr>
        <w:t>E. 3.2</w:t>
      </w:r>
    </w:p>
    <w:p>
      <w:r>
        <w:t>Die Beschwerdeschrift erfüllt diese Anforderungen nur teilweise. Als ungenügend erweist sie sich insbesondere insoweit, als die Beschwerdeführerin die Einzelbesetzung der vorinstanzlichen Richterbank durch Verwaltungsrichter Nils Stohner rügt. Die Beschwerdeführerin legt nicht ausreichend dar, inwiefern dadurch das kantonale Verfahrensrecht verfassungswidrig angewendet worden sein sollte. Die pauschale Behauptung, Art. 9 und 29 BV sowie Art. 6 EMRK seien verletzt, genügt dafür nicht. Analoges gilt für die Rügen, das Verfahren sei in unzulässiger Weise, insbesondere unter Ansetzung rechtsungleicher Fristen, instruiert worden sowie die der Beschwerdeführerin im angefochtenen Entscheid auferlegten Kosten seien zu hoch bzw. ihr Gesuch um unentgeltliche Rechtspflege sei unbehandelt geblieben. Auf die Beschwerde ist daher nur im nachfolgenden Umfang einzutreten.</w:t>
      </w:r>
    </w:p>
    <w:p>
      <w:r>
        <w:rPr>
          <w:b/>
        </w:rPr>
        <w:t>E. 4</w:t>
      </w:r>
    </w:p>
    <w:p>
      <w:r>
        <w:t>Unter Berufung auf Art. 75 Abs. 2 BGG macht die Beschwerdeführerin geltend, sie habe Anspruch auf eine doppelte kantonale Gerichtsinstanz. Im vorliegenden Fall handelt es sich jedoch weder um eine zivilrechtliche Angelegenheit, auf die die angerufene Bestimmung anwendbar wäre, noch um einen strafrechtlichen Streit, für den nach Art. 80 Abs. 2 BGG ebenfalls der Grundsatz der doppelten Gerichtsbehörde gilt. Vielmehr liegt ein verwaltungsrechtliches Verfahren der Anwaltsaufsicht vor, wofür eine doppelte gerichtliche Vorinstanz bundesrechtlich nicht vorgeschrieben ist. Abgesehen davon kann der fragliche Grundsatz ohnehin nicht für prozessuale Streitfragen gelten, die wie hier die jeweils letzte Vorinstanz des Bundesgerichts betreffen, da sonst die Situation eintreten könnte, dass es nie zu einem kantonal letztinstanzlichen Entscheid käme.</w:t>
      </w:r>
    </w:p>
    <w:p>
      <w:r>
        <w:rPr>
          <w:b/>
        </w:rPr>
        <w:t>E. 5</w:t>
      </w:r>
    </w:p>
    <w:p>
      <w:r>
        <w:t>In der Sache ging die Vorinstanz davon aus, die Beschwerdeführerin habe mit ihrer Eingabe vom 24. Juni 2019 an das Verwaltungsgericht kein gültiges Ausstandsbegehren gestellt. Sie habe einzig ganz allgemein ihrer Besorgnis der Befangenheit des Verwaltungsgerichts als solchem Ausdruck gegeben. Dies entspricht dem in den Akten liegenden Schriftstück mit dem Wortlaut: "Die Beschwerdeführerin erhebt gegen das Verwaltungsgericht des Kantons Bern die Besorgnis der Befangenheit". Nach der Rechtsprechung des Verwaltungsgerichts ist die integrale Ablehnung des Gerichts nicht zulässig. Das ist weder willkürlich, soweit eine solche Rüge überhaupt rechtsgenüglich erhoben sein sollte, noch verstösst es gegen die verfassungsmässigen Parteirechte der Beschwerdeführerin. Vielmehr entspricht dies der Rechtsprechung, die auch für Ausstandsbegehren am Bundesgericht gilt (vgl. ANDREAS GÜNGERICH, in Seiler et al., Bundesgerichtsgesetz [BGG], 2. Aufl. 2015, Art. 37 Rz. 3). Es trifft zwar zu, dass die Beschwerdeführerin im selben Schreiben - unmittelbar vor der oben zitierten Formulierung - kritisiert hat, Verwaltungsrichter Häberli habe bereits einmal eine Beschwerde in fast gleicher Sache "innert 8 Tagen... abgewiesen". Sie hat bei dieser Gelegenheit aber nicht verlangt, dieser müsse in den Ausstand treten, und der Umstand, bereits einmal in einem andern Verfahren zu Ungunsten einer Partei entschieden zu haben, würde für sich alleine auch keinen Ausstandsgrund darstellen. Erst am 13. September 2019 stellte die Beschwerdeführerin ein persönlich gegen Thomas Häberli gerichtetes Ausstandsgesuch. Es verstösst nicht gegen Verfassungsrecht, dies als verspätet zu beurteilen. Nach dem Grundsatz von Treu und Glauben und dem Verbot des Rechtsmissbrauchs sind formelle Rügen so rasch als möglich vorzubringen (vgl. BGE 135 III 334 E. 2.2 S. 336 mit Hinweisen). Die Beschwerdeführerin hätte ihr Ausstandsgesuch geraume Zeit vorher einreichen können und hat damit ohne nachvollziehbaren Grund, der allenfalls eine Ausnahme rechtfertigen könnte, zu lange zugewartet. Der angefochtene Entscheid verletzt mithin Bundesrecht nicht.</w:t>
      </w:r>
    </w:p>
    <w:p>
      <w:r>
        <w:rPr>
          <w:b/>
        </w:rPr>
        <w:t>E. 6</w:t>
      </w:r>
    </w:p>
    <w:p>
      <w:r>
        <w:t>Die Beschwerde erweist sich als unbegründet und ist abzuweisen, soweit darauf eingetreten werden kann. Auf die Erhebung von Gerichtskosten kann ausnahmsweise verzichtet werden (vgl. Art. 66 Abs. 1 BGG ), womit offenbleiben kann, ob die unterliegende Beschwerdeführerin ein rechtsgültiges Gesuch um unentgeltliche Rechtsprechung stellt. Eine Parteientschädigung ist nicht zuzusprechen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