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1B_536/2012 vom 9. Januar 2013</w:t>
      </w:r>
    </w:p>
    <w:p>
      <w:r>
        <w:t>Bundesgericht, 2013-01-09, DE</w:t>
      </w:r>
    </w:p>
    <w:p>
      <w:r>
        <w:rPr>
          <w:b/>
        </w:rPr>
        <w:t xml:space="preserve">Quelle: </w:t>
      </w:r>
      <w:r>
        <w:t>https://mcp.opencaselaw.ch/entscheid/bger_1B_536_2012</w:t>
      </w:r>
    </w:p>
    <w:p>
      <w:r>
        <w:t>FR: TF 1B_536/2012 du 9 janvier 2013</w:t>
      </w:r>
    </w:p>
    <w:p>
      <w:r>
        <w:t>IT: TF 1B_536/2012 del 9 gennaio 2013</w:t>
      </w:r>
    </w:p>
    <w:p>
      <w:pPr>
        <w:pStyle w:val="Heading2"/>
      </w:pPr>
      <w:r>
        <w:t>Erwägungen</w:t>
      </w:r>
    </w:p>
    <w:p>
      <w:r>
        <w:rPr>
          <w:b/>
        </w:rPr>
        <w:t>E. 1</w:t>
      </w:r>
    </w:p>
    <w:p>
      <w:r>
        <w:t>Der angefochtene Entscheid betrifft die Einstellung einer Strafuntersuchung. Dagegen ist die Beschwerde in Strafsachen nach Art. 78 ff. BGG zulässig. Dies gilt auch für den Kostenentscheid. Die Beschwerdeführerin kann den Entscheid über die Verweigerung einer Entschädigung anfechten, da sie diesbezüglich ein rechtlich geschütztes Interesse an der Aufhebung des angefochtenen Entscheids hat ( Art. 81 Abs. 1 lit. b BGG ); dies unbesehen des Umstands, dass sie durch die Verfahrenseinstellung an sich nicht beschwert ist (Urteil des Bundesgerichts 1B_704/2011 vom 11. Juli 2012 E. 1.3, nicht publ. in: BGE 138 IV 197 ). Die weiteren Sachurteilsvoraussetzungen geben zu keinen Bemerkungen Anlass. Auf die Beschwerde ist einzutreten.</w:t>
      </w:r>
    </w:p>
    <w:p>
      <w:r>
        <w:rPr>
          <w:b/>
        </w:rPr>
        <w:t>E. 2</w:t>
      </w:r>
    </w:p>
    <w:p>
      <w:r>
        <w:t>Die Beschwerdeführerin macht geltend, das Statthalteramt habe den Strafbefehl vom 18. November 2011 gegen sie einzig aufgrund der Polizeiakten erlassen, ohne sie je zu befragen. Das Statthalteramt sei somit ohne Befragung zur Überzeugung gelangt, es liege eine strafbare Verkehrsregelverletzung vor. Hätte die Beschuldigte keine Einsprache erhoben, so wäre sie rechtskräftig verurteilt gewesen ( Art. 354 Abs. 3 StPO ). Um diese Verurteilung abzuwenden, sei sie gezwungen gewesen, sich gemäss Art. 354 ff. StPO mit der Einsprache zur Wehr zu setzen. Unter diesen Umständen sei der Beizug eines Rechtsanwalts gerechtfertigt und geboten gewesen.</w:t>
      </w:r>
    </w:p>
    <w:p>
      <w:r>
        <w:rPr>
          <w:b/>
        </w:rPr>
        <w:t>E. 2.1</w:t>
      </w:r>
    </w:p>
    <w:p>
      <w:r>
        <w:t>Wird die beschuldigte Person ganz oder teilweise freigesprochen oder wird das Verfahren gegen sie eingestellt, so hat sie nach Art. 429 Abs. 1 lit. a StPO Anspruch auf Entschädigung ihrer Aufwendungen für die angemessene Ausübung ihrer Verfahrensrechte. Der Staat übernimmt die entsprechenden Kosten nur, wenn der Beistand angesichts der tatsächlichen oder der rechtlichen Komplexität notwendig war und der Arbeitsaufwand und somit das Honorar des Anwalts gerechtfertigt waren (vgl. Botschaft vom 21. Dezember 2005 zur Vereinheitlichung des Strafprozessrechts, BBl 2006 1329 Ziff. 2.10.3.1). Ein Anspruch auf Entschädigung für Verteidigungskosten im Falle einer Verfahrenseinstellung oder eines Freispruchs gestützt auf Art. 429 Abs. 1 lit. a StPO besteht nicht nur in den Fällen der notwendigen Verteidigung im Sinne von Art. 130 StPO . Weiter besteht ein Anspruch gestützt auf Art. 429 Abs. 1 lit. a StPO nicht nur in den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als angemessene Ausübung der Verfahrensrechte erweisen, auch wenn er nicht als geradezu geboten erscheint ( BGE 138 IV 197 E. 2.3.3 S. 202 f.).</w:t>
      </w:r>
    </w:p>
    <w:p>
      <w:r>
        <w:t>Ob der Beizug eines Verteidigers und der von diesem betriebene Aufwand eine angemessene Ausübung der Verfahrensrechte im Sinne von Art. 429 Abs. 1 lit. a StPO darstellen, prüft das Bundesgericht frei. Es auferlegt sich indessen eine gewisse Zurückhaltung gegenüber der vorinstanzlichen Einschätzung, insbesondere hinsichtlich der Frage, welcher Aufwand des Verteidigers im konkreten Fall noch als angemessen zu bezeichnen ist ( BGE 138 IV 197 E. 2.3.6 S. 204).</w:t>
      </w:r>
    </w:p>
    <w:p>
      <w:r>
        <w:rPr>
          <w:b/>
        </w:rPr>
        <w:t>E. 2.2</w:t>
      </w:r>
    </w:p>
    <w:p>
      <w:r>
        <w:t>Einem Beschuldigten wird in der Regel der Beizug eines Anwalts zugebilligt, wenn dem Deliktsvorwurf eine bestimmte Schwere zukommt. Zu beachten ist, dass es im Rahmen von Art. 429 Abs. 1 lit.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lit.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 BGE 138 IV 197 E. 2.3.5 S. 203).</w:t>
      </w:r>
    </w:p>
    <w:p>
      <w:r>
        <w:rPr>
          <w:b/>
        </w:rPr>
        <w:t>E. 2.3</w:t>
      </w:r>
    </w:p>
    <w:p>
      <w:r>
        <w:t>Wie die Beschwerdeführerin zutreffend darlegt, zog sie erst einen Verteidiger bei, nachdem das Statthalteramt zum Schluss kam, sie habe sich einer Verkehrsregelverletzung schuldig gemacht und sei deswegen zu büssen. Ihr blieb keine andere Möglichkeit, als sich mit der Einsprache zur Wehr zur setzen, ansonsten der Strafbefehl in Anwendung von Art. 354 Abs. 3 StPO zum rechtskräftigen Urteil geworden wäre. Sie konnte im Zeitpunkt der Einreichung der Einsprache nicht davon ausgehen, dass das Statthalteramt im Anschluss an die Einsprache aufgrund ihrer Einvernahme und Zeugenbefragungen das Strafverfahren einstellen wird.</w:t>
      </w:r>
    </w:p>
    <w:p>
      <w:r>
        <w:t>Zwar weist die Vorinstanz zu Recht darauf hin, dass es nicht um komplexe Sachverhaltsabläufe ging und lediglich eine Busse von Fr. 400.-- wegen einer einfachen Verkehrsregelverletzung ( Art. 90 Ziff. 1 SVG ) und mithin einer Übertretung ( Art. 103 StGB ) infrage stand. Der Umstand allein, dass die Beschwerdeführerin lediglich einer Übertretung beschuldigt wurde, kann wie erwähnt nicht zur Bejahung einer unangemessenen Ausübung von Verfahrensrechten führen. Für die Beschwerdeführerin war nicht absehbar, dass das Statthalteramt das Verfahren einstellen würde, nachdem es ihre Strafbarkeit im Strafbefehl bereits bejaht hatte. Aufgrund von Art. 355 Abs. 3 und Art. 356 StPO musste sie damit rechnen, dass am Strafbefehl festgehalten und das Hauptverfahren beim erstinstanzlichen Gericht durchgeführt wird. Zudem war für sie nicht leicht erkennbar, inwiefern die Rückenverletzung des mitbeteiligten Fahrzeuglenkers Y.________ das weitere Verfahren beeinflusst. Die Beschwerdeführerin weist ausserdem zutreffend darauf hin, dass der Ausgang des Strafverfahrens Folgen insbesondere haftpflichtrechtlicher und versicherungsrechtlicher Natur haben kann und auch bei allfälligen Administrativmassnahmen berücksichtigt wird. Der Beizug eines Rechtsvertreters erscheint somit unter den gegebenen Umständen als angemessene Ausübung der Verfahrensrechte.</w:t>
      </w:r>
    </w:p>
    <w:p>
      <w:r>
        <w:rPr>
          <w:b/>
        </w:rPr>
        <w:t>E. 2.4</w:t>
      </w:r>
    </w:p>
    <w:p>
      <w:r>
        <w:t>Bei der Anwendung von Art. 429 Abs. 1 lit. a StPO ist weiter zu prüfen, ob der konkrete Arbeitsaufwand des Verteidigers gerechtfertigt war (E. 2.1 hiervor). Die Vorinstanzen haben diese Frage noch nicht beurteilt. Die Sache ist somit an das Statthalteramt zur Festsetzung einer angemessenen Entschädigung zurückzuweisen ( Art. 107 Abs. 2 BGG ).</w:t>
      </w:r>
    </w:p>
    <w:p>
      <w:r>
        <w:rPr>
          <w:b/>
        </w:rPr>
        <w:t>E. 3</w:t>
      </w:r>
    </w:p>
    <w:p>
      <w:r>
        <w:t>Es ergibt sich, dass die Beschwerde gutzuheissen, der angefochtene Entscheid aufzuheben und die Sache zur Festsetzung der Entschädigung nach Art. 429 Abs. 1 lit. a StPO an das Statthalteramt zurückzuweisen ist.</w:t>
      </w:r>
    </w:p>
    <w:p>
      <w:r>
        <w:t>Dem Ausgang des bundesgerichtlichen Verfahrens entsprechend sind keine Gerichtskosten zu erheben ( Art. 66 Abs. 4 BGG ). Der Kanton Zürich hat der Beschwerdeführerin für das kantonale Beschwerdeverfahren vor dem Obergericht und für das bundesgerichtliche Verfahren eine angemessene Parteientschädigung auszurichten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