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1B_534/2020 vom 30. Oktober 2020</w:t>
      </w:r>
    </w:p>
    <w:p>
      <w:r>
        <w:t>Bundesgericht, 2020-10-30, FR</w:t>
      </w:r>
    </w:p>
    <w:p>
      <w:r>
        <w:rPr>
          <w:b/>
        </w:rPr>
        <w:t xml:space="preserve">Quelle: </w:t>
      </w:r>
      <w:r>
        <w:t>https://mcp.opencaselaw.ch/entscheid/bger_1B_534_2020</w:t>
      </w:r>
    </w:p>
    <w:p>
      <w:r>
        <w:t>FR: TF 1B_534/2020 du 30 octobre 2020</w:t>
      </w:r>
    </w:p>
    <w:p>
      <w:r>
        <w:t>IT: TF 1B_534/2020 del 30 ottobre 2020</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Le recourant, prévenu actuellement détenu, dispose d'un intérêt juridique à la modification ou à l'annulation de la décision attaquée qui confirme la prolongation de sa détention provisoire (art. 81 al. 1 let. a et b ch. 1 LTF). Au surplus, le recours a été formé en temps utile (art. 45 al. 1 et 100 al. 1 LTF) contre une décision rendue par une autorité statuant en tant que dernière instance cantonale ( art. 80 LTF ) et les conclusions présentées sont recevables au regard de l' art. 107 al. 2 LTF . Il y a donc lieu d'entrer en matière.</w:t>
      </w:r>
    </w:p>
    <w:p>
      <w:r>
        <w:rPr>
          <w:b/>
        </w:rPr>
        <w:t>E. 2</w:t>
      </w:r>
    </w:p>
    <w:p>
      <w:r>
        <w:t>Dans un premier grief, le recourant se plaint d'une violation de son droit d'être entendu. Il reproche à cet égard à l'autorité précédente d'avoir confirmé que le Tmc pouvait statuer en l'absence de versement au dossier de certains procès-verbaux d'audition, puisqu'il disposait de suffisamment d'informations pour trancher. Le recourant soutient au contraire que les déclarations contenues dans les procès-verbaux manquants démontreraient le rôle très secondaire qu'il aurait pu avoir dans le trafic sous enquête, ce qui permettrait notamment d'avoir une appréciation différente de l'intensité d'un éventuel risque de fuite.</w:t>
      </w:r>
    </w:p>
    <w:p>
      <w:r>
        <w:t>Dans le cadre de l'examen qui prévaut en matière de prolongation de la détention provisoire, ce grief peut cependant être écarté. En effet, la cour cantonale a relevé qu'il était regrettable que le dossier contienne des rapports de police fondés sur des auditions qui n'étaient pas elles-mêmes à disposition, rendant - avec raison - attentif le Ministère public à ce manquement (cf. consid. 2 p. 10 de l'arrêt attaqué). Cela étant, le recourant ne prétend pas que, dans le cadre de la présente procédure, il n'aurait pas eu accès au contenu de ces rapports, respectivement que le raisonnement de l'autorité précédente - ou du Tmc - reposerait uniquement sur ceux-ci. Le recourant ne remet d'ailleurs plus en cause devant le Tribunal fédéral l'existence de charges suffisantes pesant à son encontre; selon l'arrêt cantonal, celles-ci se fondaient, non pas sur l'importance du rôle qu'il pourrait avoir eu dans le trafic sous enquête, mais sur les livraisons admises par le recourant, ce qui rendait vraisemblable son implication dans un trafic de cocaïne dépassant "largement" les limites du cas grave (consid. 5/a p. 11 s. du jugement entrepris en lien avec le procès-verbal de l'audition du 27 avril 2020 p. 7; sur la notion de "cas grave", voir ATF 145 IV 312 consid. 2.1.1 p. 315 s. et 2.1.3 p. 317 [18 g purs en matière de cocaïne]). Le recourant prétend encore que les preuves ne figurant pas au dossier apporteraient un "grand nombre d'informations" sur ses liens avec la Suisse. Il ne fournit cependant aucune indication sur les "personnes entendues" qui auraient "loué [son] caractère travailleur [....] ainsi que la qualité de son travail" et assuré qu'il "retrouverait très rapidement du travail" (cf. ad 1.3 p. 11 de son mémoire); de telles informations ont en revanche été données s'agissant des propos tenus par rapport à son implication (cf. p. 7 ss de son recours). On ne saurait donc faire grief à l'autorité précédente d'avoir considéré que les éléments soulevés à cet égard se limitaient à la question des soupçons suffisants. Quant à l'absence du procès-verbal relatif à sa dernière audition (18 août 2020), elle ne cause aucun préjudice au recourant, puisque celui-ci ne prétend avoir été privé de la possibilité de réitérer ses déclarations sur cette question et/ou de les étayer au cours de la procédure de prolongation de la détention provisoire (cf. au demeurant ses déterminations du 20 août 2020 devant le Tmc et ad 2.2 p. 6 et 3.1 p. 15 s. de son recours cantonal).</w:t>
      </w:r>
    </w:p>
    <w:p>
      <w:r>
        <w:rPr>
          <w:b/>
        </w:rPr>
        <w:t>E. 3</w:t>
      </w:r>
    </w:p>
    <w:p>
      <w:r>
        <w:t>Le recourant ne conteste pas l'existence de charges suffisantes ( art. 221 al. 1 CPP ) et ne remet pas en cause la proportionnalité de la durée de la détention provisoire ( art. 212 al. 3 CPP ).</w:t>
      </w:r>
    </w:p>
    <w:p>
      <w:r>
        <w:t>Il reproche en revanche à l'autorité précédente d'avoir retenu l'existence d'un risque de fuite qu'aucune mesure de substitution ne permettait de pallier ( art. 221 al. 1 let. a et 237 CPP ).</w:t>
      </w:r>
    </w:p>
    <w:p>
      <w:r>
        <w:rPr>
          <w:b/>
        </w:rPr>
        <w:t>E. 3.1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145 IV 503 consid. 2.2 p. 507). Le risque de fuite s'étend également au risque de se soustraire à la procédure pénale ou à la sanction prévisible en tombant dans la clandestinité à l'intérieur du pays ( ATF 143 IV 160 consid. 4.3 p. 167).</w:t>
      </w:r>
    </w:p>
    <w:p>
      <w:r>
        <w:rPr>
          <w:b/>
        </w:rPr>
        <w:t>E. 3.2</w:t>
      </w:r>
    </w:p>
    <w:p>
      <w:r>
        <w:t>La cour cantonale a retenu que le recourant n'était titulaire que d'une autorisation de séjour de type B et que la prolongation de celle-ci allait immanquablement poser des problèmes vu les infractions en cause. Elle a ensuite relevé qu'exception faite des aides que le recourant avait fournies à son frère - "employeur probablement « de solidarité »" -, il était sans travail depuis des mois; sans être exagérément pessimiste, la situation que traversait la restauration suite aux limitations sanitaires qui frappaient le monde entier laissait entrevoir des perspectives d'embauches plutôt sombres. L'autorité précédente a ensuite relevé que l'amie avec laquelle le recourant disait vouloir construire sa vie n'avait été évoquée que tardivement dans le dossier; leur relation ne durait, selon les dires du recourant, que depuis un an, ce qui ne constituait pas une durée particulièrement longue, sachant que le recourant était également en détention depuis plusieurs mois. S'agissant de sa famille, la juridiction cantonale a considéré que la présence de ses trois frères en Suisse, ainsi que l'absence alléguée de contact avec ses parents - mère en Allemagne et père dans un lieu inconnu - ne permettaient pas de retenir que ces attaches seraient suffisamment fortes pour le détourner de fuir à l'étranger ou d'entrer dans la clandestinité afin d'échapper à sa peine; sans vouloir insister sur ses contacts avec l'un de ses pays d'origine (Kosovo et Croatie), le recourant y avait tout de même passé une dizaine de jours en novembre 2019 et y avait adressé de l'argent à un oncle, ainsi qu'à un cousin, ce qui démontrait ses liens avec le Kosovo; le recourant disposait également de la nationalité croate. A ces éléments, s'ajoutait, selon les Juges cantonaux, un risque d'expulsion, mesure obligatoire en cas d'infraction à l' art. 19 al. 2 LStup ( art. 66a al. 1 let . o CP) ou pouvant résulter de l'appréciation du juge pénal (expulsion facultative, art. 66a bis CP ); ce risque étant suffisamment tangible, le recourant pourrait être convaincu que son avenir en Suisse serait de toute manière compromis et choisir d'échapper à son jugement, ainsi qu'à l'exécution - préalable à une expulsion ( art. 66c al. 2 CP ) - d'une éventuelle peine privative de liberté. L'ensemble de ces éléments rendait par conséquent concret l'existence d'un risque de fuite.</w:t>
      </w:r>
    </w:p>
    <w:p>
      <w:r>
        <w:t>Ce raisonnement ne prête pas le flanc à la critique. Contrairement à ce que soutient le recourant, l'autorité précédente n'a pas fondé son appréciation sur un seul critère, mais sur un ensemble de circonstances; en particulier, le risque d'une expulsion - dont le principe n'est en soi pas contesté par le recourant (cf. ad 2.1 p 17 du recours) - constitue uniquement un élément supplémentaire pour l'examen à effectuer. La cour cantonale a ainsi pris en compte les différents liens du recourant avec la Suisse (type de permis de séjour, présence de ses trois frères, celle de son amie, perspectives professionnelles auprès de son frère ou dans la restauration), puis les a évalués eu égard au recourant, ainsi qu'avec ses relations avec l'étranger (double nationalité étrangère [kosovare et croate], oncle et cousin au Kosovo, voyage dans ce pays en novembre 2019, mère en Allemagne). Le recourant ne prétend d'ailleurs pas que la juridiction précédente aurait omis de prendre en considération certains éléments avancés, critiquant en effet avant tout l'appréciation effectuée. Il n'apporte cependant aucun argument afin d'étayer ses liens avec la Suisse. Il se limite en effet à affirmer sans démonstration que son couple serait stable et qu'il aurait des perspectives d'emploi (cf. ad 2.1 p. 18 de son recours où fait d'ailleurs défaut la mention d'un potentiel employeur), ce qui ne suffit pas pour remettre en cause les éléments retenus par l'autorité précédente sur ces problématiques (relation relativement récente et manque probable de débouché professionnel dans la restauration). En outre, le recourant ne conteste pas avoir des liens avec des membres de sa famille au Kosovo, étant notamment prêt à leur adresser de l'argent pour l'organisation d'un repas de fête ou l'achat d'un billet d'avion (cf. les motifs invoqués lors de son audition du 27 avril 2020 p. 15]), ce qui paraît confirmer l'existence de relations d'une certaine intensité. Dans la mesure où le recourant prétend ne plus avoir d'attaches notamment au Kosovo et que la Suisse serait l'unique pays où il entendrait vivre à l'avenir, ses déclarations paraissent peu crédibles vu notamment ce qui précède.</w:t>
      </w:r>
    </w:p>
    <w:p>
      <w:r>
        <w:t>Au regard de l'ensemble de ces circonstances - dont l'absence de réelles perspectives d'avenir en Suisse et des liens du recourant avec l'un de ses pays d'origine -, il existe dans le cas d'espèce un risque concret que le recourant puisse vouloir se soustraire à la procédure pénale, respectivement aux importantes conséquences pouvant en découler en cas de condamnation.</w:t>
      </w:r>
    </w:p>
    <w:p>
      <w:r>
        <w:rPr>
          <w:b/>
        </w:rPr>
        <w:t>E. 3.3</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t>En présence d'un risque de fuite, une saisie des documents d'identité, une assignation à résidence - mesure que ne propose d'ailleurs pas le recourant - et la présentation à un poste de police - respectivement un suivi de probation - ne sont pas de nature à empêcher une personne de s'enfuir à l'étranger, voire de passer dans la clandestinité ( ATF 145 IV 503 consid. 3.2 p. 510 et 3.3.2 p. 512). S'agissant en particulier du dépôt des pièces d'identité, la mesure est d'ailleurs sans effet en ce qui concerne les documents établis par un État étranger (arrêt 1B_383/2020 du 13 août 2020 consid. 5.2 et l'arrêt cité). En tout état de cause, le recourant ne développe aucune argumentation permettant d'expliquer pourquoi sa situation personnelle (étant notamment sans emploi et sans domicile a priori en cas de libération) imposerait une autre appréciation; celle-ci ne résulte en tout cas pas du seul fait que des mesures de substitution ont été ordonnées dans un autre cas d'espèce (cf. l'arrêt 1B_211/2017 du 27 juin 2017 cité par le recourant). Certaines des mesures proposées reposent au demeurant uniquement sur la volonté du recourant de s'y soumettre (dont l'interdiction de quitter la Suisse et l'obligation de donner suite aux convocations des autorités), ce qui n'offre aucune garantie qu'il s'y conformerait.</w:t>
      </w:r>
    </w:p>
    <w:p>
      <w:r>
        <w:t>Quant aux sûretés suggérées, cette mesure peut être à ce stade d'emblée écartée. En effet, le recourant - détenu qui bénéficie d'un défenseur d'office pour l'instruction (cf. ad lettre E p. 4 de l'arrêt attaqué) et qui a demandé l'octroi de l'assistance judiciaire pour la procédure fédérale - ne donne aucune indication sur les fonds dont il pourrait disposer pour assurer une telle obligation.</w:t>
      </w:r>
    </w:p>
    <w:p>
      <w:r>
        <w:t>Partant, les mesures proposées par le recourant sont impropres à prévenir le risque de fuite retenu et ce grief peut être rejeté.</w:t>
      </w:r>
    </w:p>
    <w:p>
      <w:r>
        <w:rPr>
          <w:b/>
        </w:rPr>
        <w:t>E. 3.4</w:t>
      </w:r>
    </w:p>
    <w:p>
      <w:r>
        <w:t>Au regard de ces considérations, l'Autorité de recours pouvait, sans violer le droit fédéral, confirmer la prolongation de la détention provisoire ordonnée par le Tmc.</w:t>
      </w:r>
    </w:p>
    <w:p>
      <w:r>
        <w:rPr>
          <w:b/>
        </w:rPr>
        <w:t>E. 4</w:t>
      </w:r>
    </w:p>
    <w:p>
      <w:r>
        <w:t>Il s'ensuit que le recours est rejeté.</w:t>
      </w:r>
    </w:p>
    <w:p>
      <w:r>
        <w:t>Le recourant a demandé l'octroi de l'assistance judiciaire ( art. 64 LTF ). Les conditions y relatives étant réunies, il y a lieu d'admettre cette requête. Me Mathias Bauer est désigné en tant qu'avocat d'office du recourant et il lui est alloué une indemnité, fixée de manière forfaitaire,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