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533/2017 vom 8. Januar 2018</w:t>
      </w:r>
    </w:p>
    <w:p>
      <w:r>
        <w:t>Bundesgericht, 2018-01-08, DE</w:t>
      </w:r>
    </w:p>
    <w:p>
      <w:r>
        <w:rPr>
          <w:b/>
        </w:rPr>
        <w:t xml:space="preserve">Quelle: </w:t>
      </w:r>
      <w:r>
        <w:t>https://mcp.opencaselaw.ch/entscheid/bger_1B_533_2017</w:t>
      </w:r>
    </w:p>
    <w:p>
      <w:r>
        <w:t>FR: TF 1B 533/2017 du 8 janvier 2018</w:t>
      </w:r>
    </w:p>
    <w:p>
      <w:r>
        <w:t>IT: TF 1B 533/2017 del 8 gennaio 2018</w:t>
      </w:r>
    </w:p>
    <w:p>
      <w:pPr>
        <w:pStyle w:val="Heading2"/>
      </w:pPr>
      <w:r>
        <w:t>Regeste</w:t>
      </w:r>
    </w:p>
    <w:p>
      <w:r>
        <w:t>Haftentlassung | Strafprozess</w:t>
      </w:r>
    </w:p>
    <w:p>
      <w:pPr>
        <w:pStyle w:val="Heading2"/>
      </w:pPr>
      <w:r>
        <w:t>Erwägungen</w:t>
      </w:r>
    </w:p>
    <w:p>
      <w:r>
        <w:rPr>
          <w:b/>
        </w:rPr>
        <w:t>E. 1</w:t>
      </w:r>
    </w:p>
    <w:p>
      <w:r>
        <w:t>Angefochten ist der kantonal letztinstanzliche Haftentscheid des Obergerichts. Dagegen ist die Beschwerde in Strafsachen nach den Art. 78 ff. BGG gegeben. Der Beschwerdeführer ist durch die Verweigerung der Haftentlassung in seinen rechtlich geschützten Interessen betroffen und damit zur Beschwerde befugt ( Art. 81 Abs. 1 BGG ). Er macht die Verletzung von Bundesrecht geltend, was zulässig ist ( Art. 95 lit. a BGG ). Die übrigen Sachurteilsvoraussetzungen geben zu keinen Bemerkungen Anlass, sodass auf die Beschwerde einzutreten ist.</w:t>
      </w:r>
    </w:p>
    <w:p>
      <w:r>
        <w:rPr>
          <w:b/>
        </w:rPr>
        <w:t>E. 2</w:t>
      </w:r>
    </w:p>
    <w:p>
      <w:r>
        <w:t>Untersuchungs- und Sicherheitshaft kann unter anderem angeordnet werden, wenn ein dringender Tatverdacht in Bezug auf ein Verbrechen oder Vergehen sowie Kollusionsgefahr besteht ( Art. 221 Abs. 1 StPO ). Das Obergericht hat nebst dem allgemeinen Haftgrund des dringenden Tatverdachts diesen besonderen Haftgrund bejaht.</w:t>
      </w:r>
    </w:p>
    <w:p>
      <w:r>
        <w:rPr>
          <w:b/>
        </w:rPr>
        <w:t>E. 2.1</w:t>
      </w:r>
    </w:p>
    <w:p>
      <w:r>
        <w:t>Unbestritten ist der Beschwerdeführer dringend verdächtig, B.________ mit einem Messer eine lebensgefährliche Wunde beigefügt zu haben. Damit ist der allgemeine Haftgrund des Tatverdachts in Bezug auf ein Verbrechen erfüllt, auch wenn die genauen Umstände der Tat - etwa ob der Stich vorsätzlich erfolgte oder versehentlich im Gerangel oder ob sich der Beschwerdeführer in einer Notwehrsituation befunden haben könnte - umstritten sind.</w:t>
      </w:r>
    </w:p>
    <w:p>
      <w:r>
        <w:rPr>
          <w:b/>
        </w:rPr>
        <w:t>E. 2.2</w:t>
      </w:r>
    </w:p>
    <w:p>
      <w:r>
        <w:t>Kollusion bedeutet, dass sich der Beschuldigte mit Zeugen, Auskunftspersonen, Sachverständigen oder Mitbeschuldigten ins Einvernehmen setzt oder sie zu wahrheitswidrigen Aussagen veranlasst. Die Untersuchungshaft wegen Kollusionsgefahr soll verhindern, dass ein Beschuldigter die Freiheit dazu missbraucht, die wahrheitsgetreue Abklärung des Sachverhaltes zu vereiteln oder zu gefährden. Dabei genügt nach der Rechtsprechung die theoretische Möglichkeit, dass der Beschuldigte in Freiheit kolludieren könnte nicht, um die Fortsetzung der Haft unter diesem Titel zu rechtfertigen, vielmehr müssen konkrete Indizien für eine solche Gefahr sprechen ( BGE 123 I 31 E. 3c; 117 Ia 257 E. 4b und c).</w:t>
      </w:r>
    </w:p>
    <w:p>
      <w:r>
        <w:rPr>
          <w:b/>
        </w:rPr>
        <w:t>E. 2.3</w:t>
      </w:r>
    </w:p>
    <w:p>
      <w:r>
        <w:t>Das Obergericht hat im angefochtenen Entscheid (E. 4.1 S. 14) erwogen, dass Kollusionsgefahr in Bezug auf drei ehemalige Mitschüler der beiden nicht mehr bestehe. Hingegen geht es davon aus (E. 4.2 S. 15 ff.), dass es wahrscheinlich sei, dass das erstinstanzliche Strafgericht den Geschädigten an der Hauptverhandlung erneut einvernehme, um den von den beiden Kontrahenten höchst unterschiedlich dargestellten Ablauf der Auseinandersetzung weiter abzuklären; bei diesem Vier-Augen-Delikt sei die Aussage des Geschädigten das zentrale Beweismittel. Angesichts der Schwere des Tatvorwurfs sei der Anreiz für den Beschwerdeführer hoch, den Geschädigten entgegen seinen Beteuerungen zu kontaktieren und in seinem Sinn zu beeinflussen.</w:t>
      </w:r>
    </w:p>
    <w:p>
      <w:r>
        <w:rPr>
          <w:b/>
        </w:rPr>
        <w:t>E. 2.4</w:t>
      </w:r>
    </w:p>
    <w:p>
      <w:r>
        <w:t>Das Obergericht geht zu Recht davon aus, dass nach der bundesgerichtlichen Rechtsprechung ausnahmsweise auch nach Abschluss der Untersuchung Kollusionsgefahr bestehen kann, etwa wenn bei einem Vier-Augen-Delikt der Anreiz für den Beschuldigten hoch ist und er die Möglichkeit hat, den Geschädigten zu beeinflussen und dazu zu verleiten, an der Hauptverhandlung seine Belastungen wahrheitswidrig zurückzunehmen oder abzuschwächen ( BGE 137 IV 122 E. 4 S. 127 mit Hinweis). Am 30. November 2017 lud indessen das Strafgericht zur Hauptverhandlung vor. Dieses rechtserhebliche (siehe sogleich) Novum wird vom Bundesgericht angesichts der besonderen Bedeutung des verfassungs- und menschenrechtlichen Beschleunigungsgebots bei der Prüfung von Haftbeschwerden ausnahmsweise berücksichtigt (Urteil 1B_51/2015 vom 7. April 2015 E. 4 mit Hinweisen). Nach dieser Vorladung steht praktisch fest, dass der Geschädigte an der Hauptverhandlung nicht mehr einvernommen werden wird: Der Vorsitzende des Strafgerichts hat darin verfügt, dass an der Hauptverhandlung der Beschuldigte befragt wird und, unter Vorbehalt von Beweisanträgen der Parteien, keine weiteren Beweisabnahmen erfolgen. Der Beschwerdeführer macht unter Verweis darauf geltend, dass der Geschädigte an der Hauptverhandlung nicht einvernommen werden wird, womit er sich (unter dem allgemeinen Vorbehalt einer massgebenden Veränderung der Verhältnisse) dahingehend festgelegt hat, dass er selber dies nicht beantragen wird. Die Staatsanwaltschaft liess sich nicht vernehmen, womit auch von dieser Seite kein entsprechender Antrag zu erwarten ist. Es ist somit davon auszugehen, dass der Geschädigte an der Hauptverhandlung nicht mehr einvernommen wird. Stehen aber die Aussagen des Geschädigten mit dem Abschluss der Untersuchung fest und werden an der Hauptverhandlung nicht mehr ergänzt, so hat der Beschwerdeführer gar keine Möglichkeit, dieses Beweismittel zu beeinflussen bzw. zu manipulieren. Kollusionsgefahr besteht unter diesen Umständen offenkundig nicht mehr. Die Beschwerde ist begründet.</w:t>
      </w:r>
    </w:p>
    <w:p>
      <w:r>
        <w:rPr>
          <w:b/>
        </w:rPr>
        <w:t>E. 3</w:t>
      </w:r>
    </w:p>
    <w:p>
      <w:r>
        <w:t>Die Beschwerde ist somit gutzuheissen, der angefochtene Entscheid aufzuheben und der Beschwerdeführer aus der Haft zu entlassen. Bei diesem Ausgang des Verfahrens sind keine Kosten zu erheben, und der Kanton Zürich hat dem Beschwerdeführer eine angemessene Parteientschädigung zu bezahlen (Art. 66 Abs. 4 und Art. 68 Abs. 1 und 2 BGG ). Das Gesuch um unentgeltliche Prozessführung und Verbeiständung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