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1B_532/2020 vom 13. November 2020</w:t>
      </w:r>
    </w:p>
    <w:p>
      <w:r>
        <w:t>Bundesgericht, 2020-11-13, DE</w:t>
      </w:r>
    </w:p>
    <w:p>
      <w:r>
        <w:rPr>
          <w:b/>
        </w:rPr>
        <w:t xml:space="preserve">Quelle: </w:t>
      </w:r>
      <w:r>
        <w:t>https://mcp.opencaselaw.ch/entscheid/bger_1B_532_2020</w:t>
      </w:r>
    </w:p>
    <w:p>
      <w:r>
        <w:t>FR: TF 1B_532/2020 du 13 novembre 2020</w:t>
      </w:r>
    </w:p>
    <w:p>
      <w:r>
        <w:t>IT: TF 1B_532/2020 del 13 novembre 2020</w:t>
      </w:r>
    </w:p>
    <w:p>
      <w:pPr>
        <w:pStyle w:val="Heading2"/>
      </w:pPr>
      <w:r>
        <w:t>Erwägungen</w:t>
      </w:r>
    </w:p>
    <w:p>
      <w:r>
        <w:rPr>
          <w:b/>
        </w:rPr>
        <w:t>E. 1</w:t>
      </w:r>
    </w:p>
    <w:p>
      <w:r>
        <w:t>Die Regionale Staatsanwaltschaft Emmental-Oberaargau führt ein Strafverfahren gegen A.________ wegen falscher Anschuldigung, versuchter Anstiftung zu Brandstiftung, versuchter Nötigung etc. Mit Verfügung vom 3. August 2020 entliess die Staatsanwaltschaft Fürsprecher B.________ aus dem amtlichen Mandat und setzte Fürsprecher C.________ mit Wirkung ab 3. August 2020 als neuen amtlichen Verteidiger von A.________ ein. Dagegen erhob A.________ am 13. August 2020 Beschwerde, welche die Beschwerdekammer in Strafsachen des Obergerichts des Kantons Bern mit Beschluss vom 13. Oktober 2020 abwies, soweit sie darauf eintrat.</w:t>
      </w:r>
    </w:p>
    <w:p>
      <w:r>
        <w:rPr>
          <w:b/>
        </w:rPr>
        <w:t>E. 2</w:t>
      </w:r>
    </w:p>
    <w:p>
      <w:r>
        <w:t>A.________ führt mit Eingabe vom 9. November 2020 Beschwerde in Strafsachen gegen den Beschluss der Beschwerdekammer in Strafsachen des Obergerichts des Kantons Bern. Das Bundesgericht verzichtet auf die Einholung von Vernehmlassungen.</w:t>
      </w:r>
    </w:p>
    <w:p>
      <w:r>
        <w:rPr>
          <w:b/>
        </w:rPr>
        <w:t>E. 3</w:t>
      </w:r>
    </w:p>
    <w:p>
      <w:r>
        <w:t>Streitgegenstand ist vorliegend einzig die Entlassung von Fürsprecher B.________ aus dem amtlichen Mandat und die Einsetzung von Fürsprecher C.________ als neuer amtlicher Verteidiger. Soweit der Beschwerdeführer Anträge stellt, die über den Streitgegenstand hinausgehen, kann darauf von vornherein nicht eingetreten werden.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Soweit der Beschwerdeführer sinngemäss den Präsidenten i.V. der Beschwerdekammer in Strafsachen, welcher am angefochtenen Beschluss vom 13. Oktober 2020 mitgewirkt hat, als befangen erachtet, genügt die Beschwerde den Begründungsanforderungen von Art. 42 Abs. 2 BGG offensichtlich nicht. Der Beschwerdeführer vermag insoweit nicht verständlich aufzuzeigen, inwiefern gegen die besagte Gerichtsperson ein Ausstands- bzw. Befangenheitsgrund vorliegen sollte. Im Weiteren setzt sich der Beschwerdeführer mit der Begründung der Beschwerdekammer in Strafsachen - wenn überhaupt - nicht rechtsgenüglich auseinander. Mit seinen nicht sachbezogenen Ausführungen vermag er nicht aufzuzeigen, inwiefern die Begründung der Beschwerdekammer in Strafsachen bzw. deren Beschluss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