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530/2021 vom 18. Oktober 2021</w:t>
      </w:r>
    </w:p>
    <w:p>
      <w:r>
        <w:t>Bundesgericht, 2021-10-18, DE</w:t>
      </w:r>
    </w:p>
    <w:p>
      <w:r>
        <w:rPr>
          <w:b/>
        </w:rPr>
        <w:t xml:space="preserve">Quelle: </w:t>
      </w:r>
      <w:r>
        <w:t>https://mcp.opencaselaw.ch/entscheid/bger_1B_530_2021</w:t>
      </w:r>
    </w:p>
    <w:p>
      <w:r>
        <w:t>FR: TF 1B 530/2021 du 18 octobre 2021</w:t>
      </w:r>
    </w:p>
    <w:p>
      <w:r>
        <w:t>IT: TF 1B 530/2021 del 18 ottobre 2021</w:t>
      </w:r>
    </w:p>
    <w:p>
      <w:pPr>
        <w:pStyle w:val="Heading2"/>
      </w:pPr>
      <w:r>
        <w:t>Regeste</w:t>
      </w:r>
    </w:p>
    <w:p>
      <w:r>
        <w:t>Sicherheitshaft | Strafprozess</w:t>
      </w:r>
    </w:p>
    <w:p>
      <w:pPr>
        <w:pStyle w:val="Heading2"/>
      </w:pPr>
      <w:r>
        <w:t>Erwägungen</w:t>
      </w:r>
    </w:p>
    <w:p>
      <w:r>
        <w:rPr>
          <w:b/>
        </w:rPr>
        <w:t>E. 1</w:t>
      </w:r>
    </w:p>
    <w:p>
      <w:r>
        <w:t>Die Eintretensvoraussetzungen sind erfüllt und geben zu keinen Bemerkungen Anlass (vgl. Urteil 1B_548/2017 vom 29. Januar 2018 E. 1).</w:t>
      </w:r>
    </w:p>
    <w:p>
      <w:r>
        <w:rPr>
          <w:b/>
        </w:rPr>
        <w:t>E. 2</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Urteil 1B_274/2021 vom 24. August 2021 E. 1; je mit Hinweisen). Für die Anordnung von Sicherheitshaft nach Verbüssen der Freiheitsstrafe bedarf es insbesondere der hinreichenden Wahrscheinlichkeit, dass eine Massnahme angeordnet wird, welche die Sicherstellung des Beschwerdegegners erfordert (vgl. BGE 137 IV 333 E. 2.3.1 und Urteil 1B_548/2017 vom 29. Januar 2018 E. 3.2 bezüglich der Sicherheitshaft im Nachverfahren betreffend die nachträgliche Verwahrung). Das Obergericht hat im angefochtenen Entscheid mit keinem Wort begründet, weshalb es mit dem am gleichen Tag ergangenen Urteil von der Anordnung von therapeutischen Massnahmen und einer Verwahrung absah. Jenes Urteil liegt zudem erst im Dispositiv vor und wurde auch nicht mündlich eröffnet. Daraus ergeben sich somit ebenfalls keine Hinweise auf die für den Haftentscheid massgebenden Gründe tatsächlicher und rechtlicher Art.</w:t>
      </w:r>
    </w:p>
    <w:p>
      <w:r>
        <w:rPr>
          <w:b/>
        </w:rPr>
        <w:t>E. 3</w:t>
      </w:r>
    </w:p>
    <w:p>
      <w:r>
        <w:t>Der angefochtene Entscheid ist in Anwendung von Art. 112 Abs. 3 BGG aufzuheben und die Sache an das Obergericht des Kantons Zürich zurückzuweisen, damit dieses einen Entscheid trifft, der den Anforderungen von Art. 112 Abs. 1 BGG genügt. Dabei wird es das Beschleunigungsgebot in Haftsachen zu beachten haben ( Art. 31 Abs. 4 BV , Art. 5 Abs. 2 StPO ). Das Gesuch der Beschwerdeführerin um vorsorgliche Massnahmen wird damit gegenstandslos. Der unterliegende Beschwerdegegner stellt ein Gesuch um unentgeltliche Rechtspflege. Da die gesetzlichen Voraussetzungen erfüllt sind, ist das Gesuch gutzuheissen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