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1B_52/2019 vom 1. Mai 2019</w:t>
      </w:r>
    </w:p>
    <w:p>
      <w:r>
        <w:t>Bundesgericht, 2019-05-01, DE</w:t>
      </w:r>
    </w:p>
    <w:p>
      <w:r>
        <w:rPr>
          <w:b/>
        </w:rPr>
        <w:t xml:space="preserve">Quelle: </w:t>
      </w:r>
      <w:r>
        <w:t>https://mcp.opencaselaw.ch/entscheid/bger_1B_52_2019</w:t>
      </w:r>
    </w:p>
    <w:p>
      <w:r>
        <w:t>FR: TF 1B_52/2019 du 1 mai 2019</w:t>
      </w:r>
    </w:p>
    <w:p>
      <w:r>
        <w:t>IT: TF 1B_52/2019 del 1 maggio 2019</w:t>
      </w:r>
    </w:p>
    <w:p>
      <w:pPr>
        <w:pStyle w:val="Heading2"/>
      </w:pPr>
      <w:r>
        <w:t>Erwägungen</w:t>
      </w:r>
    </w:p>
    <w:p>
      <w:r>
        <w:rPr>
          <w:b/>
        </w:rPr>
        <w:t>E. 1</w:t>
      </w:r>
    </w:p>
    <w:p>
      <w:r>
        <w:t>Das Verfahren ist wieder aufzunehmen.</w:t>
      </w:r>
    </w:p>
    <w:p>
      <w:r>
        <w:rPr>
          <w:b/>
        </w:rPr>
        <w:t>E. 2</w:t>
      </w:r>
    </w:p>
    <w:p>
      <w:r>
        <w:t>Mit der Aufhebung der Kontensperren ist der Streit um deren Entsiegelung gegenstandslos geworden.</w:t>
      </w:r>
    </w:p>
    <w:p>
      <w:r>
        <w:rPr>
          <w:b/>
        </w:rPr>
        <w:t>E. 2.1</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w:t>
      </w:r>
    </w:p>
    <w:p>
      <w:r>
        <w:rPr>
          <w:b/>
        </w:rPr>
        <w:t>E. 2.2</w:t>
      </w:r>
    </w:p>
    <w:p>
      <w:r>
        <w:t>Entgegen den Ausführungen der Beschwerdeführerin ergibt sich aus dem Umstand, dass die Beschwerdegegnerin mit der Aufhebung der Kontensperren einverstanden war, keineswegs, dass sie von Anfang an zu Unrecht angeordnet worden waren. Vielmehr war die Beschwerdegegnerin dazu nur bereit, weil B.________ als "Gegenleistung" Fr. 80'000.-- auf die Kasse des Bezirksgerichts einzahlte und so deren Beschlagnahme ermöglichte, was erst das Bezirksgericht zur Aufhebung der Kontensperren bewog. Das bundesgerichtliche Verfahren wurde somit faktisch durch eine Einigung zwischen der Beschwerdeführerin und der Beschwerdegegnerin gegenstandslos, weshalb es sich rechtfertigt, die Gerichtskosten hälftig aufzuteilen und der Beschwerdeführerin keine Parteientschädigung zuzusprechen.</w:t>
      </w:r>
    </w:p>
    <w:p>
      <w:r>
        <w:rPr>
          <w:b/>
        </w:rPr>
        <w:t>E. 3</w:t>
      </w:r>
    </w:p>
    <w:p>
      <w:r>
        <w:t>Das Verfahren ist als gegenstandslos geworden abzuschreiben. Die Gerichtskosten sind unter den Parteien aufzuteilen, womit die Beschwerdeführerin reduzierte ( Art. 66 Abs. 1 BGG ) und die Beschwerdegegnerin keine ( Art. 66 Abs. 4 BGG ) Gerichtskosten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