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52/2014 vom 21. Februar 2014</w:t>
      </w:r>
    </w:p>
    <w:p>
      <w:r>
        <w:t>Bundesgericht, 2014-02-21, DE</w:t>
      </w:r>
    </w:p>
    <w:p>
      <w:r>
        <w:rPr>
          <w:b/>
        </w:rPr>
        <w:t xml:space="preserve">Quelle: </w:t>
      </w:r>
      <w:r>
        <w:t>https://mcp.opencaselaw.ch/entscheid/bger_1B_52_2014</w:t>
      </w:r>
    </w:p>
    <w:p>
      <w:r>
        <w:t>FR: TF 1B 52/2014 du 21 février 2014</w:t>
      </w:r>
    </w:p>
    <w:p>
      <w:r>
        <w:t>IT: TF 1B 52/2014 del 21 febbraio 2014</w:t>
      </w:r>
    </w:p>
    <w:p>
      <w:pPr>
        <w:pStyle w:val="Heading2"/>
      </w:pPr>
      <w:r>
        <w:t>Regeste</w:t>
      </w:r>
    </w:p>
    <w:p>
      <w:r>
        <w:t>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Allerdings muss die Beschwerdebegründung in der Beschwerdeschrift selbst enthalten sein ( Art. 42 Abs. 2 BGG ; BGE 134 II 244 E. 2.1; 133 II 396 E. 3.2). Diese Anforderung ist vorliegend nicht erfüllt, da der Beschwerdeführer zur Begründung seiner Beschwerde ausschliesslich auf die zu Protokoll gegebene Minderheitsmeinung des bei der obergerichtlichen Urteilsfällung vom 24. Januar 2014 überstimmten Richters verweist. Das schadet ihm indessen insofern nicht, als er sich in seiner noch innerhalb der 30-tägigen Beschwerdefrist von Art. 100 Abs. 1 BGG eingereichten Replik inhaltlich mit den Haftvoraussetzungen auseinandersetzt und damit eine ausreichende Beschwerdebegründung nachliefert.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Kollusions- oder Wiederholungsgefahr besteht ( Art. 221 Abs. 1 StPO ).</w:t>
      </w:r>
    </w:p>
    <w:p>
      <w:r>
        <w:rPr>
          <w:b/>
        </w:rPr>
        <w:t>E. 2.1</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2.2.1</w:t>
      </w:r>
    </w:p>
    <w:p>
      <w:r>
        <w:t>Nach der Rechtsprechung kann die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w:t>
      </w:r>
    </w:p>
    <w:p>
      <w:r>
        <w:rPr>
          <w:b/>
        </w:rPr>
        <w:t>E. 2.2.2</w:t>
      </w:r>
    </w:p>
    <w:p>
      <w:r>
        <w:t>Die Begehung der in Art. 221 Abs. 1 lit. c StPO genannten Delikte muss ernsthaft zu befürchten sein. Erforderlich ist eine sehr ungünstige Rückfallprognose. Der Haftgrund der Wiederholungsgefahr ist restriktiv zu handhaben ( BGE 137 IV 84 E. 3.2 S. 85 f. ; 135 I 71 E. 2.3 S. 73; je mit Hinweisen). Die Inhaftierung wegen Wiederholungsgefahr kommt allerdings nicht nur bei ernsthaft zu befürchtenden Delikten gegen Leib und Leben in Betracht, sondern namentlich auch bei schweren Vermögensdelikten wie gewerbsmässigem Betrug und Serienbetrug (Urteile 1B_497/2012 vom 3. Oktober 2012 E. 2.1; 1B_379/2011 vom 2. August 2011 E. 2.8 f.).</w:t>
      </w:r>
    </w:p>
    <w:p>
      <w:r>
        <w:rPr>
          <w:b/>
        </w:rPr>
        <w:t>E. 3.1</w:t>
      </w:r>
    </w:p>
    <w:p>
      <w:r>
        <w:t>Das Obergericht hat im angefochtenen Entscheid das Bestehen eines dringenden Tatverdachts gegen den Beschwerdeführer in Bezug auf Drohung im Sinn von Art. 180 StGB bejaht. Der Beschwerdeführer ist zwar nicht geständig, bestreitet aber den Tatverdacht nicht substanziiert. Damit ist davon auszugehen, dass der Beschwerdeführer der Drohung zum Nachteil seiner Ehefrau und damit eines von Amtes wegen zu verfolgenden Vergehens (Art. 180 Abs. 1 i.V.m. Abs. 2 und Art. 10 Abs. 3 StGB ) dringend verdächtig ist. Der allgemeine Haftgrund ist damit gegeben.</w:t>
      </w:r>
    </w:p>
    <w:p>
      <w:r>
        <w:rPr>
          <w:b/>
        </w:rPr>
        <w:t>E. 3.2</w:t>
      </w:r>
    </w:p>
    <w:p>
      <w:r>
        <w:t>Der Beschwerdeführer ist einschlägig vorbestraft. Das Bezirksgericht Uster verurteilte ihn am 14. März 2012 wegen Drohung und einfacher Körperverletzung zum Nachteil seiner Ehefrau zu einer Freiheitsstrafe von 8 Monaten, deren Vollzug zugunsten einer ambulanten Massnahme aufgeschoben wurde. Sollten sich die im vorliegenden Verfahren gegen den Beschwerdeführer erhobenen Vorwürfe bestätigen, wäre davon auszugehen, dass er sich von dieser Verurteilung nicht beeindrucken liess und praktisch ohne Verzug fortfuhr, seine Frau und deren Verwandte mit Todesdrohungen in Angst und Schrecken zu halten und zu versuchen, ihnen seinen Willen aufzuzwingen. Die Untersuchung ist zwar weit fortgeschritten. Die Staatsanwaltschaft hat insbesondere die Ehefrau des Beschwerdeführers am 14. November 2013 einvernommen und dabei mit dem Beschwerdeführer konfrontiert. Trotzdem ist in dieser Konstellation ernsthaft zu befürchten, dass der Beschwerdeführer in Freiheit versuchen könnte, seine Ehefrau, die nachvollziehbar Angst vor ihm hat, unter Druck zu setzen um zu erreichen, dass sie ihre Belastungen an der Hauptverhandlung zurückzieht oder wenigstens relativiert. Ein solches Unterfangen wäre auch nicht von vornherein aussichtslos, dürfte doch der Ausgang des Verfahrens massgebend von den Belastungen der Ehefrau abhängen, deren Beweiskraft beeinträchtigt werden könnte, wenn sie sie an der Hauptverhandlung nicht bestätigen würde. Das Obergericht hat kein Bundesrecht verletzt, indem es Kollusionsgefahr bejahte.</w:t>
      </w:r>
    </w:p>
    <w:p>
      <w:r>
        <w:rPr>
          <w:b/>
        </w:rPr>
        <w:t>E. 3.3</w:t>
      </w:r>
    </w:p>
    <w:p>
      <w:r>
        <w:t>Das Obergericht hat zudem zu Recht Wiederholungsgefahr angenommen. Nach der Verurteilung vom 14. März 2012 und den hier zur Diskussion stehenden Tatvorwürfen hat der Beschwerdeführer zumindest einmal massive Gewalt gegen seine Ehefrau angewandt und sie für den Fall, dass sie sich von ihm trennen sollte, jahrelang immer wieder mit dem Tod bedroht. Da nun eingetreten ist, was der Beschwerdeführer verhindern wollte - seine Ehefrau will sich nach ihrer Aussage vom 14. November 2013 scheiden lassen - liegt es nahe, dass er in Freiheit versuchen könnte, sie durch weitere Drohungen von ihrem Vorhaben abzubringen. Solche Todesdrohungen, wie sie dem Beschwerdeführer vorgeworfen werden, sind schwere Vergehen im Sinne der oben in E. 2.2.1 angeführten Rechtsprechung, die die Annahme von Wiederholungsgefahr rechtfertigen.</w:t>
      </w:r>
    </w:p>
    <w:p>
      <w:r>
        <w:rPr>
          <w:b/>
        </w:rPr>
        <w:t>E. 3.4</w:t>
      </w:r>
    </w:p>
    <w:p>
      <w:r>
        <w:t>Die Fortführung der Untersuchungshaft ist auch unter Verhältnismässigkeitsgesichtspunkten nicht zu beanstanden.</w:t>
      </w:r>
    </w:p>
    <w:p>
      <w:r>
        <w:rPr>
          <w:b/>
        </w:rPr>
        <w:t>E. 3.4.1</w:t>
      </w:r>
    </w:p>
    <w:p>
      <w:r>
        <w:t>In zeitlicher Hinsicht nähert sich die bisher erstandene Haft - bei Erlass dieses bundesgerichtlichen Urteils dürfte sie rund vier Monate betragen haben - noch nicht der zu erwartenden Freiheitsstrafe.</w:t>
      </w:r>
    </w:p>
    <w:p>
      <w:r>
        <w:rPr>
          <w:b/>
        </w:rPr>
        <w:t>E. 3.4.2</w:t>
      </w:r>
    </w:p>
    <w:p>
      <w:r>
        <w:t>Die Untersuchungshaft lässt sich nicht durch eine mildere Massnahme ersetzen. Der Beschwerdeführer hat sich nach seiner Haftentlassung vom 19. Dezember 2013 nicht an die Auflagen gehalten und das Kontaktverbot verletzt. Ist er aber somit nicht gewillt oder nicht fähig, sich an Auflagen zu halten, lässt sich mit solchen Ersatzmassnahmen der Zweck der Untersuchungshaft - die Gewährleistung der Wahrheitsfindung im Strafverfahren (Kollusionsgefahr) und der Schutz des Opfers vor weiteren Übergriffen (Wiederholungsgefahr) - nicht erreichen. Der bei Erlass des angefochtenen Entscheids überstimmte Oberrichter findet es zwar unverhältnismässig, den Beschwerdeführer wegen der Verletzung des Kontaktverbots erneut in Untersuchungshaft zu nehmen, da es sich bei der fraglichen Mitteilung bloss um eine Art Liebeserklärung bzw. eine Versöhnungsbotschaft gehandelt habe. Er findet das Kontaktverbot zudem offenbar grundsätzlich fragwürdig, weil es einem Beschuldigten möglich sein müsse, eine Geschädigte zu bitten, den Strafantrag zurückzuziehen oder die Erklärung im Sinn von Art. 55a Abs. 1 lit. b StGB abzugeben, das Strafverfahren provisorisch zu sistieren. Diese Bedenken sind unbegründet. Besteht Kollusions- und/oder Wiederholungsgefahr, kann ein Beschuldigter nur in Freiheit belassen werden, wenn er Gewähr dafür bietet, die damit verbundenen Auflagen - namentlich Rayon- und Kontaktverbote - strikte einzuhalten. Die Staatsanwaltschaft weist in ihrer Vernehmlassung zu Recht darauf hin, dass auch Liebesbeteuerungen und Versöhnungsbotschaften ambivalent sein können. Das trifft gerade im vorliegenden Fall zu: wenn der Beschwerdeführer seine Ehefrau jahrelang immer wieder mit dem Tod bedroht hat für den Fall, dass sie ihn verlassen sollte, kann sie jedenfalls nicht frei und unbelastet entscheiden, ob sie sich auf das Versöhnungsangebot einlassen will, sondern muss damit rechnen, dass die Drohungen weiterhin bestehen, falls sie es ablehnt. Wer einen verbotenen Kontakt herstellen will, kann und muss die zuständige Behörde - hier die Staatsanwaltschaft - um eine Ausnahme oder eine Lockerung des Verbots ersuchen. Eine eigenmächtige Missachtung des Kontaktverbots ist dagegen unzulässig und muss in aller Regel zu einer Rückversetzung in die Untersuchungshaft führen. Vorliegend sind kein Umstände dargetan oder ersichtlich, die es rechtfertigen würden, von einer Rückversetzung abzusehen.</w:t>
      </w:r>
    </w:p>
    <w:p>
      <w:r>
        <w:rPr>
          <w:b/>
        </w:rPr>
        <w:t>E. 4</w:t>
      </w:r>
    </w:p>
    <w:p>
      <w:r>
        <w:t>Die Beschwerde ist somit abzuweisen. Damit würde an sich der Beschwerdeführer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