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529/2018 vom 20. November 2018</w:t>
      </w:r>
    </w:p>
    <w:p>
      <w:r>
        <w:t>Bundesgericht, 2018-11-20, DE</w:t>
      </w:r>
    </w:p>
    <w:p>
      <w:r>
        <w:rPr>
          <w:b/>
        </w:rPr>
        <w:t xml:space="preserve">Quelle: </w:t>
      </w:r>
      <w:r>
        <w:t>https://mcp.opencaselaw.ch/entscheid/bger_1B_529_2018</w:t>
      </w:r>
    </w:p>
    <w:p>
      <w:r>
        <w:t>FR: TF 1B 529/2018 du 20 novembre 2018</w:t>
      </w:r>
    </w:p>
    <w:p>
      <w:r>
        <w:t>IT: TF 1B 529/2018 del 20 novembre 2018</w:t>
      </w:r>
    </w:p>
    <w:p>
      <w:pPr>
        <w:pStyle w:val="Heading2"/>
      </w:pPr>
      <w:r>
        <w:t>Regeste</w:t>
      </w:r>
    </w:p>
    <w:p>
      <w:r>
        <w:t>Strafverfahren; Wechsel der amtlichen Verteidigung | Strafprozess</w:t>
      </w:r>
    </w:p>
    <w:p>
      <w:pPr>
        <w:pStyle w:val="Heading2"/>
      </w:pPr>
      <w:r>
        <w:t>Erwägungen</w:t>
      </w:r>
    </w:p>
    <w:p>
      <w:r>
        <w:rPr>
          <w:b/>
        </w:rPr>
        <w:t>E. 1</w:t>
      </w:r>
    </w:p>
    <w:p>
      <w:r>
        <w:t>Das Bezirksgericht Zürich stellte mit Urteil vom 11. September 2018 fest, dass A.________ den Tatbestand der vorsätzlichen Tötung nach Art. 111 StGB im Zustand der nicht selbst verschuldeten Schuldunfähigkeit erfüllt habe und erkannte, er sei der Störung des Totenfriedens im Sinne von Art. 262 Ziff. 1 StGB schuldig. Das Bezirksgericht bestrafte ihn mit 22 Monaten Freiheitsstrafe, welche durch die Haft bereits erstanden war, und ordnete eine stationäre therapeutische Massnahme im Sinne von Art. 59 StGB (Behandlung von psychischen Störungen) an.</w:t>
      </w:r>
    </w:p>
    <w:p>
      <w:r>
        <w:rPr>
          <w:b/>
        </w:rPr>
        <w:t>E. 2</w:t>
      </w:r>
    </w:p>
    <w:p>
      <w:r>
        <w:t>A.________ meldete gegen das Urteil des Bezirksgerichts Zürich mit Schreiben vom 18. September 2018 Berufung an. Gleichzeitig ersuchte A.________ beim Bezirksgericht Zürich um Wechsel der amtlichen Verteidigung und der amtliche Verteidiger um Entlassung aus seinem Amt. Das Bezirksgericht Zürich wies beide Gesuche mit Verfügung vom 26. September 2018 ab. Dagegen erhob A.________ Beschwerde und ersuchte um Auswechslung seines amtlichen Verteidigers. Die III. Strafkammer des Obergerichts des Kantons Zürich wies die Beschwerde mit Beschluss vom 1. November 2018 ab. Zur Begründung führte sie zusammenfassend aus, dass keine konkreten und objektiven Hinweise auf eine relevante Störung des Vertrauensverhältnisses zwischen A.________ und seinem amtlichen Verteidiger ersichtlich seien.</w:t>
      </w:r>
    </w:p>
    <w:p>
      <w:r>
        <w:rPr>
          <w:b/>
        </w:rPr>
        <w:t>E. 3</w:t>
      </w:r>
    </w:p>
    <w:p>
      <w:r>
        <w:t>A.________ führt mit Eingabe vom 12. November 2018 an das Bundesgericht und mit einer zweiten Eingabe vom gleichen Tag an das Bundesstrafgericht Beschwerde gegen den Beschluss der III. Strafkammer des Obergerichts des Kantons Zürich. Das Bundesstrafgericht überwies die bei ihm eingegangene Eingabe mit Schreiben vom 13. November 2018 zur weiteren Behandlung an das Bundesgericht, welches auf die Einholung von Vernehmlassungen verzichtete.</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nicht mit den Ausführungen der III. Strafkammer auseinander, die zur Abweisung seiner Beschwerde führte. Er vermag mit der Darstellung seiner Sicht der Dinge nicht ansatzweise aufzuzeigen,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