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1B_527/2022 vom 21. April 2023</w:t>
      </w:r>
    </w:p>
    <w:p>
      <w:r>
        <w:t>Bundesgericht, 2023-04-21, FR</w:t>
      </w:r>
    </w:p>
    <w:p>
      <w:r>
        <w:rPr>
          <w:b/>
        </w:rPr>
        <w:t xml:space="preserve">Quelle: </w:t>
      </w:r>
      <w:r>
        <w:t>https://mcp.opencaselaw.ch/entscheid/bger_1B_527_2022</w:t>
      </w:r>
    </w:p>
    <w:p>
      <w:r>
        <w:t>FR: TF 1B_527/2022 du 21 avril 2023</w:t>
      </w:r>
    </w:p>
    <w:p>
      <w:r>
        <w:t>IT: TF 1B_527/2022 del 21 aprile 2023</w:t>
      </w:r>
    </w:p>
    <w:p>
      <w:pPr>
        <w:pStyle w:val="Heading2"/>
      </w:pPr>
      <w:r>
        <w:t>Erwägungen</w:t>
      </w:r>
    </w:p>
    <w:p>
      <w:r>
        <w:rPr>
          <w:b/>
        </w:rPr>
        <w:t>E. 1</w:t>
      </w:r>
    </w:p>
    <w:p>
      <w:r>
        <w:t>L'arrêt attaqué, qui confirme le maintien du séquestre sur l'ordinateur en mains du recourant, est un prononcé rendu en matière pénale au sens de l' art. 78 al. 1 LTF .</w:t>
      </w:r>
    </w:p>
    <w:p>
      <w:r>
        <w:t>Selon la jurisprudence, le tiers qui ne bénéficie sur l'objet séquestré que de droits personnels (bail, prêt, mandat, etc.) n'a en principe pas d'intérêt juridique à contester une décision de séquestre (cf. arrêt 1B_388/2016 du 6 mars 2017 cons. 3.2 et les réf. cit.). En l'occurrence, la question de savoir si le recourant, qui a participé à la procédure devant l'instance précédente, a qualité pour recourir (cf. art. 81 al. 1 let. b LTF ) contre le séquestre de l'ordinateur qu'il affirme louer aux EPO, mais qui contient ses fichiers et données personnelles, peut rester indécise, vu l'issue du litige (cf. consid. 2.3). Pour le même motif, peut également rester indécise la question de l'existence d'un préjudice irréparable au sens de l' art. 93 al. 1 let. a LTF , condition de recevabilité du recours contre la décision incidente de séquestre (cf. ATF 140 IV 57 consid. 2.3).</w:t>
      </w:r>
    </w:p>
    <w:p>
      <w:r>
        <w:t>Pour le surplus, le recours a été formé en temps utile ( art. 100 al. 1 LTF ) contre une décision rendue en dernière instance cantonale ( art. 80 LTF ). La conclusion présentée par le recourant tendant à obtenir la restitution de l'ordinateur placé sous séquestre et son contenu est recevable au regard de l' art. 107 al. 2 LTF . En revanche, la conclusion qui tend en substance à ordonner la clôture de l'instruction pénale est irrecevable, dès lors qu'elle ne se rapporte pas à l'objet du présent litige.</w:t>
      </w:r>
    </w:p>
    <w:p>
      <w:r>
        <w:rPr>
          <w:b/>
        </w:rPr>
        <w:t>E. 2</w:t>
      </w:r>
    </w:p>
    <w:p>
      <w:r>
        <w:t>Le recourant demande la levée du séquestre de son ordinateur, en affirmant pour l'essentiel que celui-ci ne contiendrait pas de fichiers pédopornographiques.</w:t>
      </w:r>
    </w:p>
    <w:p>
      <w:r>
        <w:rPr>
          <w:b/>
        </w:rPr>
        <w:t>E. 2.1</w:t>
      </w:r>
    </w:p>
    <w:p>
      <w:r>
        <w:t>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(cf. art. 263 al. 1 let. a CPP ), que le juge du fond pourrait être amené à restituer au lésé (cf. art. 263 al. 1 let . c CPP) ou à confisquer (cf. art. 263 al. 1 let . d CPP) ou qui pourraient servir à l'exécution d'une créance compensatrice (cf. art. 71 al. 3 CP ). L'autorité doit pouvoir statuer rapidement (cf. art. 263 al. 2 CPP ), ce qui exclut qu'elle résolve des questions juridiques complexes ou qu'elle attende d'être renseignée de manière exacte et complète sur les faits avant d'agir ( ATF 141 IV 360 consid. 3.2; arrêt 1B_398/2022 du 13 décembre 2022 consid. 5.3).</w:t>
      </w:r>
    </w:p>
    <w:p>
      <w:r>
        <w:t>Le séquestre en vue de la confiscation (cf. art. 263 al. 1 let . d CPP) est proportionné lorsqu'il porte sur des objets dont on peut admettre qu'ils pourront être vraisemblablement confisqués en application du droit pénal ( ATF 141 IV 360 consid. 3.2). Il doit exister un rapport de causalité entre l'infraction et l'objet saisi en vue de la confiscation ( ATF 140 IV 57 consid. 4.1.2; arrêt 1B_398/2022 du 13 décembre 2022 consid. 5.3). Tant que l'instruction n'est pas achevée et que subsiste une probabilité de confiscation, la mesure conservatoire doit être maintenue ( ATF 141 IV 360 consid. 3.2; arrêt 1B_481/2021 du 4 novembre 2021 consid. 2.2). Le séquestre pénal ne peut donc être levé que dans l'hypothèse où il est d'emblée manifeste et indubitable que les conditions matérielles d'une confiscation ne sont pas réalisées, et ne pourront l'être ( ATF 140 IV 133 consid. 4.2.1; 139 IV 250 consid. 2.1; arrêt 1B_398/2022 du 13 décembre 2022 consid. 5.3).</w:t>
      </w:r>
    </w:p>
    <w:p>
      <w:r>
        <w:t>S'agissant des objets pouvant faire l'objet d'une confiscation au sens de l' art. 69 CP , ils doivent compromettre la sécurité des personnes, la morale ou l'ordre public; cela signifie que, dans le futur, ce danger doit exister et que, précisément pour cette raison, il faut ordonner la confiscation en tant que mesure de sécurité. La confiscation peut ainsi notamment porter sur des choses qui ont servi ou devraient servir à commettre une infraction ("instrumenta sceleris"; ATF 137 IV 249 consid. 4.4; 130 IV 143 consid. 3.3.1; arrêt 6B_189/2022 du 30 novembre 2022 consid. 4.1 et les arrêts cités).</w:t>
      </w:r>
    </w:p>
    <w:p>
      <w:r>
        <w:rPr>
          <w:b/>
        </w:rPr>
        <w:t>E. 2.2</w:t>
      </w:r>
    </w:p>
    <w:p>
      <w:r>
        <w:t>En l'espèce, dans l'arrêt attaqué du 14 septembre 2022, la cour cantonale a confirmé le séquestre et a renvoyé aux motifs développés dans son arrêt précédent du 8 février 2022, le recourant n'apportant aucun élément de fait nouveau. Dans cet arrêt de février 2022, la cour cantonale a entre autres constaté que le recourant ne contestait pas que l'ordinateur en question lui avait servi pour composer des écrits menaçant à l'encontre de diverses personnes ainsi que des écrits faisant état de projet pour supprimer des personnes. L'analyse des documents saisis lors de la perquisition de la cellule du recourant ainsi que celle de l'extraction de l'ordinateur litigieux avaient permis d'étayer ces soupçons. Il existait donc bien à l'encontre du recourant des soupçons suffisants de la commission de l'infraction de contrainte ou de tentative de contrainte. La cour cantonale a de plus estimé que les conditions d'une confiscation de l'ordinateur, au sens de l' art. 69 CP , étaient remplies. En effet, le recourant utilisait l'ordinateur mis à sa disposition par les EPO pour commettre ou tenter de commettre des infractions, notamment par l'intermédiaire de tiers extérieurs à l'établissement pénitentiaire, à savoir en l'occurrence de D.________ qu'il présente comme son "secrétaire"; ces infractions ont un lien avec des personnes en Thaïlande, dont la mère d'une dénommée "E.________" qui était l'une de ses victimes et que le recourant présente comme "sa fille adoptive". Le recourant mettait ainsi en danger la sécurité des personnes qui font l'objet de ses écrits. La cour cantonale a ensuite rappelé les motifs de l'internement du recourant et a exposé les raisons pour lesquelles elle a qualifié d'élevé le risque que le recourant ne commette de nouvelles infractions au moyen de l'ordinateur séquestré; elle a notamment souligné que le recourant refuse toujours de reconnaître les faits à raison desquels il a été condamné en octobre 2001, qu'il ne semble pas voir de problème à l'idée de maintenir un contact avec ses victimes, qu'il se dit entièrement innocent de tout acte pédophile et que le risque de commettre des infractions du même genre que celles pour lesquelles il a été condamné est avéré et sérieux.</w:t>
      </w:r>
    </w:p>
    <w:p>
      <w:r>
        <w:rPr>
          <w:b/>
        </w:rPr>
        <w:t>E. 2.3</w:t>
      </w:r>
    </w:p>
    <w:p>
      <w:r>
        <w:t>Aux termes de l' art. 42 al. 2 LTF , les motifs du recours doivent exposer succinctement en quoi l'acte attaqué viole le droit. Le Tribunal fédéral a dit à maintes reprises que cette disposition impose à la partie recourante de discuter, au moins de façon sommaire, les considérants de la décision attaquée ( ATF 134 II 244 consid. 2.1). En l'occurrence, il est pour le moins douteux que la critique du recourant remplisse les exigences de motivation de l' art. 42 al. 2 LTF . En effet, on cherche en vain une critique des motifs retenus par la cour cantonale pour confirmer le séquestre de l'ordinateur. Le recourant se limite à affirmer, dans une argumentation confuse, qu'il a le droit d'écrire ce qui lui plaît dans l'intimité de sa cellule et que le livre - qui relaterait les relations sexuelles entre sa fille adoptive, alors enfant, et un certain E.________ - ne constituerait pas un écrit pédophile illicite. Il ajoute que les fichiers, trouvés dans l'ordinateur visé par la justice ne représenteraient pas un danger pour la sécurité publique, ce qu'attesterait selon lui le fait qu'il détiendrait les mêmes fichiers en version papier dans sa cellule. Ce faisant, le recourant ne remet pas en cause le fait qu'il utilise l'ordinateur en question, voire son contenu, pour commettre ou tenter de commettre des infractions, notamment à l'encontre de personnes en Thaïlande. Ainsi, en l'absence de grief suffisamment motivé, il y a lieu de s'en tenir aux considérants du jugement attaqué auxquels il est renvoyé sur ce point ( art. 109 al. 3 LTF ). Les arguments invoqués par le recourant dans son acte de recours ne sont pas susceptibles de remettre en cause le maintien du séquestre.</w:t>
      </w:r>
    </w:p>
    <w:p>
      <w:r>
        <w:rPr>
          <w:b/>
        </w:rPr>
        <w:t>E. 3</w:t>
      </w:r>
    </w:p>
    <w:p>
      <w:r>
        <w:t>Il s'ensuit que le recours doit être rejeté dans la faible mesure où il est recevable. Comme il était dénué de chances de succès, la demande d'assistance judiciaire pour la procédure fédérale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