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527/2018 vom 13. November 2018</w:t>
      </w:r>
    </w:p>
    <w:p>
      <w:r>
        <w:t>Bundesgericht, 2018-11-13, DE</w:t>
      </w:r>
    </w:p>
    <w:p>
      <w:r>
        <w:rPr>
          <w:b/>
        </w:rPr>
        <w:t xml:space="preserve">Quelle: </w:t>
      </w:r>
      <w:r>
        <w:t>https://mcp.opencaselaw.ch/entscheid/bger_1B_527_2018</w:t>
      </w:r>
    </w:p>
    <w:p>
      <w:r>
        <w:t>FR: TF 1B 527/2018 du 13 novembre 2018</w:t>
      </w:r>
    </w:p>
    <w:p>
      <w:r>
        <w:t>IT: TF 1B 527/2018 del 13 novembre 2018</w:t>
      </w:r>
    </w:p>
    <w:p>
      <w:pPr>
        <w:pStyle w:val="Heading2"/>
      </w:pPr>
      <w:r>
        <w:t>Regeste</w:t>
      </w:r>
    </w:p>
    <w:p>
      <w:r>
        <w:t>Strafverfahren; unentgeltliche Rechtspflege | Strafprozess</w:t>
      </w:r>
    </w:p>
    <w:p>
      <w:pPr>
        <w:pStyle w:val="Heading2"/>
      </w:pPr>
      <w:r>
        <w:t>Erwägungen</w:t>
      </w:r>
    </w:p>
    <w:p>
      <w:r>
        <w:rPr>
          <w:b/>
        </w:rPr>
        <w:t>E. 1</w:t>
      </w:r>
    </w:p>
    <w:p>
      <w:r>
        <w:t>Die Staatsanwaltschaft, Untersuchungsamt St. Gallen, trat mit Nichtanhandnahmeverfügung vom 3. August 2018 auf die Strafklagen von A.________ gegen Rechtsanwalt B.________ wegen des Verdachts der mehrfachen üblen Nachrede, der mehrfachen Verleumdung, der Beschimpfung sowie der Verletzung des Geheim- oder Privatbereichs durch Aufnahmegeräte nicht ein und auferlegte A.________ die Verfahrenskosten. Gegen die in der Nichtanhandnahmeverfügung verfügte Kostenauflage erhob A.________ Beschwerde. Nach Aufforderung zur Leistung einer Sicherheit für allfällige Kosten und Entschädigungen ersuchte A.________ um Gewährung der unentgeltlichen Rechtspflege. Der Präsident der Anklagekammer des Kantons St. Gallen wies mit Entscheid vom 5. Oktober 2018 das Gesuch ab und setzte A.________ eine Frist von 10 Tagen zur Leistung einer Sicherheit von Fr. 800.--, ansonsten auf die Beschwerde nicht eingetreten werde. Zur Begründung führte die Anklagekammer zusammenfassend aus, dass die unentgeltliche Rechtspflege nur im Hinblick auf die Durchsetzung von Zivilansprüchen gewährt werde. Zivilforderungen mache der Beschwerdeführer nicht geltend. Überdies belege der Beschwerdeführer seine Einkommens- und Vermögenssituation nur ungenügend.</w:t>
      </w:r>
    </w:p>
    <w:p>
      <w:r>
        <w:rPr>
          <w:b/>
        </w:rPr>
        <w:t>E. 2</w:t>
      </w:r>
    </w:p>
    <w:p>
      <w:r>
        <w:t>A.________ führt mit Eingabe vom 12. November 2018 Beschwerde in Strafsachen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macht einzig Ausführungen bezüglich der ungenügenden Darlegung seiner Einkommens- und Vermögenssituation. Mit der Hauptbegründung der Anklagekammer, dass ohne Geltendmachung von Zivilforderungen kein Anspruch auf unentgeltliche Rechtspflege des Privatklägers bestehe, setzt er sich nicht auseinander. Der Beschwerdeführer vermag daher nicht aufzuzeigen, inwiefern die Begründung der Anklagekammer, die zur Abweisung des Gesuchs um unentgeltliche Rechtspflege führte, bzw. der Entscheid der Anklagekammer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Mit dem Entscheid in der Sache selbst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