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1B_526/2020 vom 4. Februar 2021</w:t>
      </w:r>
    </w:p>
    <w:p>
      <w:r>
        <w:t>Bundesgericht, 2021-02-04, DE</w:t>
      </w:r>
    </w:p>
    <w:p>
      <w:r>
        <w:rPr>
          <w:b/>
        </w:rPr>
        <w:t xml:space="preserve">Quelle: </w:t>
      </w:r>
      <w:r>
        <w:t>https://mcp.opencaselaw.ch/entscheid/bger_1B_526_2020</w:t>
      </w:r>
    </w:p>
    <w:p>
      <w:r>
        <w:t>FR: TF 1B_526/2020 du 4 février 2021</w:t>
      </w:r>
    </w:p>
    <w:p>
      <w:r>
        <w:t>IT: TF 1B_526/2020 del 4 febbraio 2021</w:t>
      </w:r>
    </w:p>
    <w:p>
      <w:pPr>
        <w:pStyle w:val="Heading2"/>
      </w:pPr>
      <w:r>
        <w:t>Erwägungen</w:t>
      </w:r>
    </w:p>
    <w:p>
      <w:r>
        <w:rPr>
          <w:b/>
        </w:rPr>
        <w:t>E. 1</w:t>
      </w:r>
    </w:p>
    <w:p>
      <w:r>
        <w:t>Beim angefochtenen Urteil handelt es sich um einen selbstständig eröffneten Zwischenentscheid in einer Strafsache ( Art. 78 Abs. 1 BGG ). Dieser betrifft ein Ausstandsbegehren, weshalb die Beschwerde gemäss Art. 92 BGG zulässig ist. Das Obergericht hat als letzte und einzige kantonale Instanz entschieden ( Art. 80 BGG i.V.m. Art. 59 Abs. 1 StPO ).</w:t>
      </w:r>
    </w:p>
    <w:p>
      <w:r>
        <w:t>Zur Beschwerde in Strafsachen ist nach Art. 81 Abs. 1 BGG berechtigt, wer vor der Vorinstanz am Verfahren teilgenommen hat oder keine Möglichkeit zur Teilnahme erhalten hat (lit. a: "formelle Beschwer") und ein rechtlich geschütztes Interesse an der Aufhebung oder Änderung des angefochtenen Entscheids hat (lit. b: "materielle Beschwer").</w:t>
      </w:r>
    </w:p>
    <w:p>
      <w:r>
        <w:t>In Art. 81 Abs. 1 lit. b BGG werden in einer nicht abschliessenden Aufzählung unter anderem die beschuldigte Person (Ziff. 1) und die Staatsanwaltschaft genannt (Ziff. 3). Die Bestimmung ist als "Generalklausel mit Regelbeispielen" konzipiert.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 BGE 139 IV 121 E. 4.2 S. 123 f. mit Hinweisen und Beispielen).</w:t>
      </w:r>
    </w:p>
    <w:p>
      <w:r>
        <w:t>Das rechtlich geschützte Interesse der Staatsanwaltschaft an der Aufhebung oder Änderung des angefochtenen Entscheids leitet sich aus dem staatlichen Strafanspruch ab, den sie zu vertreten hat. Sie ist somit beschwerdebefugt, wenn es um die Durchsetzung des Strafanspruchs als solchem oder um damit zusammenhängende - das heisst, sich auf diesen auswirkende - materiell- und prozessrechtliche Belange geht ( BGE 134 IV 36 E. 1.4 S. 39 ff.; Urteil 6B_1314/2016 vom 10. Oktober 2018 E. 1.4.3, nicht publ. in BGE 145 IV 114 ; je mit Hinweisen). Zwar ist diese Voraussetzung und damit die materielle Beschwer in der Regel gegeben (Urteil 1B_20/2014 vom 24. Januar 2014 E. 1.2; zu weitgehend insofern die Wortwahl in Urteil 6B_1381/ 2019 vom 13. Oktober 2020 E. 3). Sie kann jedoch nach dem Ausgeführten nicht pauschal bejaht werden und muss im Einzelfall durch die beschwerdeführende Staatsanwaltschaft dargelegt werden, sofern sie nicht offensichtlich gegeben ist ( Art. 42 Abs. 1 BGG ; BGE 141 IV 289 E. 1.3 S. 292 mit Hinweisen).</w:t>
      </w:r>
    </w:p>
    <w:p>
      <w:r>
        <w:t>Im Urteil 1B_20/2014 vom 24. Januar 2014 liess das Bundesgericht die Frage, ob die Staatsanwaltschaft zur Beschwerde in Strafsachen ans Bundesgericht berechtigt ist, wenn ein Staatsanwalt in den Ausstand versetzt wurde, offen (a.a.O., E. 1.2). Daraus geht hervor, dass das rechtlich geschützte Interesse in derartigen Fällen jedenfalls nicht ohne Weiteres generell besteht. Auch im vorliegenden Fall ist nicht ersichtlich, inwiefern der angefochtene Entscheid die Durchsetzung des Strafanspruchs tangiert. Da die Staatsanwaltschaft dies auch nicht ansatzweise darlegt, ist auf ihre Beschwerde nicht einzutreten.</w:t>
      </w:r>
    </w:p>
    <w:p>
      <w:r>
        <w:rPr>
          <w:b/>
        </w:rPr>
        <w:t>E. 2</w:t>
      </w:r>
    </w:p>
    <w:p>
      <w:r>
        <w:t>Bei diesem Verfahrensausgang sind keine Gerichtskosten zu erheben ( Art. 66 Abs. 1 und 4 BGG ). Der Rechtsvertreterin des Beschwerdegegners ist eine angemessene Parteientschädigung zuzusprechen ( Art. 68 Abs. 1-2 BGG ). Dessen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