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1B_526/2018 vom 16. November 2018</w:t>
      </w:r>
    </w:p>
    <w:p>
      <w:r>
        <w:t>Bundesgericht, 2018-11-16, DE</w:t>
      </w:r>
    </w:p>
    <w:p>
      <w:r>
        <w:rPr>
          <w:b/>
        </w:rPr>
        <w:t xml:space="preserve">Quelle: </w:t>
      </w:r>
      <w:r>
        <w:t>https://mcp.opencaselaw.ch/entscheid/bger_1B_526_2018</w:t>
      </w:r>
    </w:p>
    <w:p>
      <w:r>
        <w:t>FR: TF 1B_526/2018 du 16 novembre 2018</w:t>
      </w:r>
    </w:p>
    <w:p>
      <w:r>
        <w:t>IT: TF 1B_526/2018 del 16 novembre 2018</w:t>
      </w:r>
    </w:p>
    <w:p>
      <w:pPr>
        <w:pStyle w:val="Heading2"/>
      </w:pPr>
      <w:r>
        <w:t>Erwägungen</w:t>
      </w:r>
    </w:p>
    <w:p>
      <w:r>
        <w:rPr>
          <w:b/>
        </w:rPr>
        <w:t>E. 1</w:t>
      </w:r>
    </w:p>
    <w:p>
      <w:r>
        <w:t>A.________ erhob gegen die Nichtanhandnahmeverfügung der Oberstaatsanwaltschaft des Kantons Schwyz Beschwerde. Das Kantonsgericht Schwyz forderte sie mit Verfügung vom 29. Oktober 2018 auf, eine Sicherheit im Sinne von Art. 383 StPO für allfällige Kosten von Fr. 1'200.-- zu leisten, ansonsten auf die Beschwerde nicht eingetreten werde.</w:t>
      </w:r>
    </w:p>
    <w:p>
      <w:r>
        <w:rPr>
          <w:b/>
        </w:rPr>
        <w:t>E. 2</w:t>
      </w:r>
    </w:p>
    <w:p>
      <w:r>
        <w:t>Mit Eingabe vom 14. November 2018 führt A.________ Beschwerde in Strafsachen gegen die Verfügung des Kantonsgerichts Schwyz.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Die Beschwerdeführerin, die keinen zulässigen Beschwerdegrund nennt, legt nicht dar, inwiefern die Auferlegung einer Sicherheitsleistung rechtswidrig sein soll. Aus der Beschwerde ergibt sich somit nicht, inwiefern die Verfügung des Kantonsgerichts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