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526/2017 vom 4. Mai 2018</w:t>
      </w:r>
    </w:p>
    <w:p>
      <w:r>
        <w:t>Bundesgericht, 2018-05-04, FR</w:t>
      </w:r>
    </w:p>
    <w:p>
      <w:r>
        <w:rPr>
          <w:b/>
        </w:rPr>
        <w:t xml:space="preserve">Quelle: </w:t>
      </w:r>
      <w:r>
        <w:t>https://mcp.opencaselaw.ch/entscheid/bger_1B_526_2017</w:t>
      </w:r>
    </w:p>
    <w:p>
      <w:r>
        <w:t>FR: TF 1B 526/2017 du 4 mai 2018</w:t>
      </w:r>
    </w:p>
    <w:p>
      <w:r>
        <w:t>IT: TF 1B 526/2017 del 4 maggio 2018</w:t>
      </w:r>
    </w:p>
    <w:p>
      <w:pPr>
        <w:pStyle w:val="Heading2"/>
      </w:pPr>
      <w:r>
        <w:t>Regeste</w:t>
      </w:r>
    </w:p>
    <w:p>
      <w:r>
        <w:t>Procédure pénale; levée partielle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Le ministère public dispose en principe de la qualité pour recourir contre une décision maintenant partiellement ou intégralement des scellés (cf. art. 81 al. 1 let. a et b ch. 3 LTF; arrêts 1B_401/2017 du 6 mars 2018 consid. 1; 1B_297/2016 du 23 novembre 2016 consid. 1.1 et les arrêts cités).</w:t>
      </w:r>
    </w:p>
    <w:p>
      <w:r>
        <w:rPr>
          <w:b/>
        </w:rPr>
        <w:t>E. 1.3</w:t>
      </w:r>
    </w:p>
    <w:p>
      <w:r>
        <w:t>Ne mettant pas un terme à la procédure pénale, la décision attaquée est de nature incidente. Le recours en matière pénale contre une telle décision n'est dès lors recevable qu'aux conditions de l' art. 93 al. 1 let. a LTF , soit en présence d'un préjudice irréparable ( ATF 143 IV 462 consid. 1 p. 465).</w:t>
      </w:r>
    </w:p>
    <w:p>
      <w:r>
        <w:rPr>
          <w:b/>
        </w:rPr>
        <w:t>E. 1.3.1</w:t>
      </w:r>
    </w:p>
    <w:p>
      <w:r>
        <w:t>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le cas échéant, rendre une ordonnance de mise en accusation. Il appartient dans tous les cas au ministère public d'alléguer et de démontrer la réalisation des conditions d'application de l' art. 93 al. 1 let. a LTF pour que son recours au Tribunal fédéral soit recevable ( ATF 141 IV 289 consid. 1.4 p. 292, 284 consid. 2.4 p. 287 s.). Il n'en va pas différemment en matière de levée des scellés (arrêts 1B_433/2017 du 21 mars 2018 consid. 1.8; 1B_401/2017 du 6 mars 2018 consid. 1; 1B_297/2016 du 23 novembre 2016 consid. 1.2; 1B_249/2015 du 30 mai 2016 consid. 2 non publié aux ATF 142 IV 207 ). En particulier, ne causent pas de préjudice irréparable au sens de l' art. 93 al. 1 let. a LTF les décisions qui déterminent la procédure de tri car la question de la levée des scellés et de son ampleur n'est pas encore tranchée et ne le sera qu'ultérieurement (arrêt 1B_92/2017 du 17 mars 2017 et les arrêts cités).</w:t>
      </w:r>
    </w:p>
    <w:p>
      <w:r>
        <w:rPr>
          <w:b/>
        </w:rPr>
        <w:t>E. 1.3.2</w:t>
      </w:r>
    </w:p>
    <w:p>
      <w:r>
        <w:t>En l'espèce, le Tmc a expliqué n'avoir examiné qu'un des 8 sous-dossiers dans le premier des 30 dossiers, soit 594 messages. Il s'ensuit que pour 29 dossiers et les 7 autres sous-dossier contenus dans le dossier d'export examiné, aucune décision de levée ou de maintien des scellés n'a encore été prise; la décision entreprise tend uniquement à cet égard à organiser les modalités de la poursuite de l'instruction, notamment en invitant les parties à compléter en substance leurs explications (cf. ch. 3 et 5 du dispositif de l'ordonnance attaquée). Le recourant ne subit par conséquent aucun préjudice irréparable qu'un prononcé ultérieur ne pourrait pas réparer. S'agissant du sous-dossier consulté, le recourant a obtenu la levée intégrale des scellés sur 149 éléments, ne subissant ainsi aucun préjudice irréparable sur ce point, dans la mesure d'ailleurs où il disposerait encore d'un intérêt juridiquement protégé - notamment actuel - à l'annulation ou à la modification de l'ordonnance attaquée sur cette question. L'autorité précédente a ensuite ordonné la levée partielle des scellés sur huit éléments (caviardage). Le recourant ne soulève aucune argumentation tendant à démontrer que cette limitation entraînerait d'importantes difficultés pour la poursuite de l'instruction (cf. art. 42 al. 2 LTF ). Un préjudice irréparable n'est pas non plus d'emblée manifeste, dès lors que la restriction ordonnée ne concerne en l'état que huit éléments. Le Tmc a enfin relevé qu'il n'avait pas pu consulter trois messages, ceux-ci étant protégés par un mot de passe; il a en conséquence imparti un délai à la banque intimée pour le lui fournir (cf. ch. 4 du dispositif de l'ordonnance attaquée). Contrairement à ce qui pourrait être compris à la lecture du prononcé entrepris, la question de la levée ou du maintien des scellés sur ces trois éléments n'est pas définitivement tranchée et devra faire l'objet d'une prochaine décision de la part du Tmc. Soutenir l'inverse exclurait toute possibilité de recours pour les parties concernées, que ce soit contre la levée - intégrale ou partielle - ou le maintien des scellés. Il s'ensuit que dans le cadre de la présente procédure, le recourant ne subit aussi aucun préjudice irréparable s'agissant de ces trois éléments, qui n'ont pas été écartés définitivement du dossier d'instruction. En ce qui concerne enfin les autres éléments contenus dans le sous-dossier consulté (594 [total des messages compris dans le sous-dossier] - 149 [scellés levés] - 8 [scellés levés partiellement] = 437), le recourant soutient que le Tmc aurait refusé - certes implicitement - la levée des scellés sur ceux-ci. Le Tmc n'a toutefois pas ordonné la restitution de ce sous-dossier. Il a en outre retenu que le "troisième support de données devait faire l'objet d'un traitement nettement plus attentif et diligent de la part" de la banque intimée. Le Tmc a encore imparti à la banque intimée un délai pour compléter ses recherches pour "les éléments du support n° 3", respectivement au recourant pour produire une liste de mots-clés. Cela suffit pour comprendre que l'examen du Tmc, notamment en fonction des nouveaux critères qui lui seront transmis, portera sur l'ensemble des éléments figurant sur le support n° 3, à l'exception uniquement des 157 éléments pour lesquels la levée des scellés a été ordonnée intégralement ou partiellement. Pour ce même motif, le grief en lien avec un défaut de motivation sur les raisons ayant permis au Tmc d'écarter les 437 autres communications tombe à faux. Partant, en l'état, le recourant ne subit aucun préjudice irréparable et le recours est irrecevable.</w:t>
      </w:r>
    </w:p>
    <w:p>
      <w:r>
        <w:rPr>
          <w:b/>
        </w:rPr>
        <w:t>E. 1.4</w:t>
      </w:r>
    </w:p>
    <w:p>
      <w:r>
        <w:t>Dans la mesure où le recourant se plaint de violations de ses droits de partie, il y a toutefois lieu d'entrer en matière sur ce grief d'ordre formel ( ATF 141 IV 1 consid. 1.1 p. 5).</w:t>
      </w:r>
    </w:p>
    <w:p>
      <w:r>
        <w:rPr>
          <w:b/>
        </w:rPr>
        <w:t>E. 2</w:t>
      </w:r>
    </w:p>
    <w:p>
      <w:r>
        <w:t>Le recourant soutient que le Tmc l'aurait empêché de consulter le dossier de la procédure de levée des scellés. Ce grief peut cependant, dans le cas d'espèce, être écarté. En effet, si tout échange d'écritures n'est pas d'emblée exclu, l'absence de transmission d'une partie ou de l'intégralité des observations déposées par ceux ayant sollicité la mise sous scellés résulte toutefois de la nature particulière de cette procédure. Celle-ci tend à assurer - temporairement au moins - que le contenu des pièces placées sous scellés, respectivement en conséquence celui des observations et/ou annexes y faisant référence, ne soit pas transmis aux autorités de poursuite pénale, dont fait partie le recourant (cf. art. 12 let. b CPP ; ATF 142 IV 372 consid. 3.2.1 p. 376). Ce dernier ne conteste d'ailleurs pas avoir eu connaissance notamment des déterminations de la banque intimée, soit la détentrice des données placées sous scellés. C'est le lieu également de rappeler qu'une participation d'un représentant du ministère public à la procédure de tri des pièces - coopération qui doit tendre avant tout à indiquer à l'autorité de tri des critères de recherche, notamment quant à la pertinence potentielle des pièces pour l'instruction - ne lui confère aucun droit de vérifier lui-même chaque document avant que l'autorité judiciaire ne se prononce. Une telle façon de procéder tendrait à contourner de manière inadmissible la protection voulue par la procédure de mise sous scellés. En tout état de cause, lorsque la pose de scellés a été requise, il n'appartient plus au ministère public d'examiner le bien-fondé des secrets et motifs invoqués par les requérants, constatation qui permet au demeurant de douter de la pertinence de la procédure de consultation effectuée par le recourant préalablement au dépôt de sa demande de levée des scellés. Pour ces mêmes motifs, les requêtes du recourant tendant à l'obtention du dossier du Tmc, ainsi qu'à la mise en oeuvre d'un tri au cours de la procédure fédérale peuvent être rejetées.</w:t>
      </w:r>
    </w:p>
    <w:p>
      <w:r>
        <w:rPr>
          <w:b/>
        </w:rPr>
        <w:t>E. 3</w:t>
      </w:r>
    </w:p>
    <w:p>
      <w:r>
        <w:t>Il s'ensuit que le recours est rejeté dans la mesure où il est recevable. Il n'y a pas lieu de percevoir de frais judiciaires ( art. 66 al. 4 LTF ). Les intimés, qui obtiennent gain de cause avec l'assistance d'un avocat, ont chacun droit à des dépens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