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1B_525/2020 vom 20. Januar 2021</w:t>
      </w:r>
    </w:p>
    <w:p>
      <w:r>
        <w:t>Bundesgericht, 2021-01-20, FR</w:t>
      </w:r>
    </w:p>
    <w:p>
      <w:r>
        <w:rPr>
          <w:b/>
        </w:rPr>
        <w:t xml:space="preserve">Quelle: </w:t>
      </w:r>
      <w:r>
        <w:t>https://mcp.opencaselaw.ch/entscheid/bger_1B_525_2020</w:t>
      </w:r>
    </w:p>
    <w:p>
      <w:r>
        <w:t>FR: TF 1B_525/2020 du 20 janvier 2021</w:t>
      </w:r>
    </w:p>
    <w:p>
      <w:r>
        <w:t>IT: TF 1B_525/2020 del 20 gennaio 2021</w:t>
      </w:r>
    </w:p>
    <w:p>
      <w:pPr>
        <w:pStyle w:val="Heading2"/>
      </w:pPr>
      <w:r>
        <w:t>Erwägungen</w:t>
      </w:r>
    </w:p>
    <w:p>
      <w:r>
        <w:rPr>
          <w:b/>
        </w:rPr>
        <w:t>E. 1</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 ATF 143 IV 462 consid. 1 p. 465).</w:t>
      </w:r>
    </w:p>
    <w:p>
      <w:r>
        <w:t>Ne mettant pas un terme à la procédure pénale, la décision attaquée est de nature incidente. Elle est toutefois susceptible de causer un préjudice irréparable au sens de l' art. 93 al. 1 let. a LTF , dans la mesure où la levée des scellés pourrait porter atteinte au secret professionnel de l'avocat tel qu'invoqué par le recourant ( ATF 143 IV 462 consid. 1 p. 465; arrêts 1B_539/2019 du 19 mars 2020 consid. 1; 1B_264/2018 du 28 septembre 2018 consid. 1). Le recourant, en tant que prévenu et détenteur des documents ou données électroniques saisis, a un intérêt juridiquement protégé à l'annulation ou à la modification de l'ordonnance entreprise qui lève les scellés apposés sur ces éléments prétendument protégés par le secret professionnel de l'avocat (art. 81 al. 1 let. a et b ch. 1 LTF). Au demeurant, il peut être entré en matière sur son recours dans la mesure où il se prévaut également de la violation de ses droits de partie (cf. sa première conclusion principale au fond; ATF 141 IV 1 consid. 1.1 p. 5; arrêt 1B_345/2014 du 9 janvier 2015 consid. 1).</w:t>
      </w:r>
    </w:p>
    <w:p>
      <w:r>
        <w:t>Pour le surplus, le recours a été déposé en temps utile ( art. 100 al. 1 LTF ) et les conclusions qui y sont prises sont recevables ( art. 107 al. 2 LTF ) de sorte qu'il y a lieu d'entrer en matière.</w:t>
      </w:r>
    </w:p>
    <w:p>
      <w:r>
        <w:rPr>
          <w:b/>
        </w:rPr>
        <w:t>E. 2</w:t>
      </w:r>
    </w:p>
    <w:p>
      <w:r>
        <w:t>Le recourant se plaint de ne pas avoir pu se déterminer sur l'échange de courriers intervenus les 13 juillet, 3 août et 19 août 2020 entre le Tmc et le Ministère public.</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Le droit de répliquer vise le droit conféré à la partie de se déterminer sur "toute prise de position " versée au dossier, quelle que soit sa dénomination procédurale (réponse, réplique, prise de position, etc.). Même si le juge renonce à ordonner un nouvel échange d'écritures, il doit néanmoins transmettre cette prise de position aux autres parties ( ATF 142 III 48 consid. 4.1.1 p. 52 s. et les arrêts cités). Il appartient à ces dernières, et non au juge, de décider si une prise de position ou une pièce nouvellement versée au dossier contient des éléments déterminants qui appellent des observations de leur part ( ATF 146 III 97 consid. 3.4.1 p. 104; 139 I 189 consid. 3.2 p. 192).</w:t>
      </w:r>
    </w:p>
    <w:p>
      <w:r>
        <w:rPr>
          <w:b/>
        </w:rPr>
        <w:t>E. 2.2</w:t>
      </w:r>
    </w:p>
    <w:p>
      <w:r>
        <w:t>Par courriers des 13 juillet et 3 août 2020, le Tmc a demandé au Ministère public de lui indiquer, pour les mots-clés qu'il avait proposés dans sa liste du 13 septembre 2019, les motifs pour lesquels il estimait qu'ils étaient pertinents pour l'enquête. Le 19 août 2020, le Ministère public y a répondu par l'envoi d'un tableau reprenant les mots-clés qu'il avait proposés avec une brève motivation quant à leur pertinence.</w:t>
      </w:r>
    </w:p>
    <w:p>
      <w:r>
        <w:t>Sauf à violer le droit d'être entendu du recourant, le Tmc se devait de lui transmettre la prise de position du Ministère public, ce qu'il n'a pas fait. Peu importe que de son point de vue - ou au demeurant de celui du Ministère public - il ait pu considérer que le contenu des observations du second ne comportait aucun élément susceptible de faire l'objet d'écritures complémentaires; on peut d'ailleurs en douter au regard de la teneur du courrier litigieux du 19 août 2020. Cette manière de procéder semble d'autant plus critiquable que le raisonnement du Tmc - qui statue en outre en tant qu'autorité de première instance - repose sur les éléments fournis par le Ministère public à cet égard (cf. ad p. 9 de l'ordonnance entreprise). Le Tmc soutient que le principe d'égalité des armes serait respecté dès lors que le Ministère public ne s'est pas non plus prononcé sur la liste des mots-clés à exclure proposés par le recourant. Il ne saurait toutefois se prévaloir de ce principe pour justifier la violation d'un important droit de procédure tel que le droit d'être entendu du recourant. Cela étant, c'est le lieu de rappeler que la procédure de mise sous scellés revêt une nature particulière en ce sens qu'elle tend à assurer - temporairement au moins - que le contenu des pièces placées sous scellés, respectivement en conséquence celui des observations et/ou annexes y faisant référence, ne soit pas transmis aux autorités de poursuite pénale, dont fait partie le Ministère public (cf. art. 12 let. b CPP ; voir également ATF 142 IV 372 consid. 3.2.1 p. 376; arrêt 1B_268/2019 du 25 novembre 2019 consid. 4). Pour le reste, aucune raison valable qui justifierait l'absence de transmission au recourant de cette liste et des explications fournies à cet égard n'est avancée, l'arrêt 1B_525/2017 du 4 mai 2018 consid. 3.1 que le Ministère public cite n'ayant pas la portée qu'il lui prête. Enfin, le vice ne saurait être considéré comme guéri par les prises de position intervenues antérieurement.</w:t>
      </w:r>
    </w:p>
    <w:p>
      <w:r>
        <w:t>Partant, en rendant son ordonnance le 7 septembre 2020, sans transmettre au recourant ses échanges de courriers intervenus les 13 juillet, 3 août et 19 août 2020 avec le Ministère public au sujet des mots-clés à inclure dans la recherche informatique de la documentation électronique mise sous scellés et de leur pertinence, respectivement sans lui accorder un délai - même informel - pour se déterminer à cet égard, le Tmc a violé son droit d'être entendu et ce grief doit être admis.</w:t>
      </w:r>
    </w:p>
    <w:p>
      <w:r>
        <w:rPr>
          <w:b/>
        </w:rPr>
        <w:t>E. 2.3</w:t>
      </w:r>
    </w:p>
    <w:p>
      <w:r>
        <w:t>Le Tribunal fédéral ne disposant pas d'une pleine cognition en fait et en droit, le vice constaté ne peut pas être réparé au cours de la procédure fédérale. La violation du droit d'être entendu entraîne donc l'annulation de la décision entreprise, indépendamment des chances de succès du recours sur le fond ( ATF 142 II 218 consid. 2.8.1 p. 226; arrêt 1B_74/2020 du 5 août 2020 consid. 3). Il n'en résulte toutefois pas que la demande de levée des scellés doit être rejetée (cf. ATF 116 Ia 60 consid. 3b p. 64 ss; 115 Ia 293 consid. 6g p. 308; arrêt 1B_62/2014 du 4 avril 2014 consid. 2.3). La conclusion prise en ce sens par le recourant doit donc être rejetée.</w:t>
      </w:r>
    </w:p>
    <w:p>
      <w:r>
        <w:rPr>
          <w:b/>
        </w:rPr>
        <w:t>E. 3</w:t>
      </w:r>
    </w:p>
    <w:p>
      <w:r>
        <w:t>Le recours est par conséquent partiellement admis pour ce motif d'ordre formel. L'ordonnance attaquée est annulée et la cause est renvoyée à l'autorité précédente pour qu'elle transmette au recourant les courriers qu'elle a adressés au Ministère public les 13 juillet et 3 août 2020 ainsi que la réponse de ce dernier du 19 août 2020; elle lui accordera en outre un délai pour déposer des déterminations supplémentaires et procédera, le cas échéant, à d'autres échanges d'écritures et/ou mesures d'instruction, puis statuera à nouveau sur la demande de levée des scellés, à bref délai ( art. 5 al. 1 CPP ), et dans le respect des garanties découlant de l' art. 29 al. 2 Cst. Comme la mesure de mise sous scellés est maintenue, le recours est rejeté pour le surplus.</w:t>
      </w:r>
    </w:p>
    <w:p>
      <w:r>
        <w:t>Au regard de l'issue du litige, il n'y a pas lieu de percevoir de frais judiciaires ( art. 66 al. 4 LTF ). Le recourant obtient gain de cause avec l'assistance d'un mandataire et peut donc prétendre à une indemnité de dépens à la charge du canton de Berne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