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1B_525/2018 vom 21. November 2018</w:t>
      </w:r>
    </w:p>
    <w:p>
      <w:r>
        <w:t>Bundesgericht, 2018-11-21, DE</w:t>
      </w:r>
    </w:p>
    <w:p>
      <w:r>
        <w:rPr>
          <w:b/>
        </w:rPr>
        <w:t xml:space="preserve">Quelle: </w:t>
      </w:r>
      <w:r>
        <w:t>https://mcp.opencaselaw.ch/entscheid/bger_1B_525_2018</w:t>
      </w:r>
    </w:p>
    <w:p>
      <w:r>
        <w:t>FR: TF 1B_525/2018 du 21 novembre 2018</w:t>
      </w:r>
    </w:p>
    <w:p>
      <w:r>
        <w:t>IT: TF 1B_525/2018 del 21 novembre 2018</w:t>
      </w:r>
    </w:p>
    <w:p>
      <w:pPr>
        <w:pStyle w:val="Heading2"/>
      </w:pPr>
      <w:r>
        <w:t>Erwägungen</w:t>
      </w:r>
    </w:p>
    <w:p>
      <w:r>
        <w:rPr>
          <w:b/>
        </w:rPr>
        <w:t>E. 1</w:t>
      </w:r>
    </w:p>
    <w:p>
      <w:r>
        <w:t>Die Bewährungs- und Vollzugsdienste des Kantons Bern stellten am 15. August 2018 dem Regionalgericht Berner Jura-Seeland den Antrag auf Anordnung einer Verwahrung von A.________ ( Art. 62c Abs. 4 StGB ). Gerichtspräsident B.________ des Regionalgerichts Berner Jura-Seeland gab den Parteien mit Verfügung vom 30. August 2018 Kenntnis von diesem Antrag. A.________ wandte sich mit Schreiben vom 7. September 2018 ans Regionalgericht und machte dabei u.a. eine Befangenheit von Gerichtspräsident B.________ geltend. Mit Verfügung vom 26. September 2018 überwies Gerichtspräsident B.________ die Akten zum Entscheid über das Ausstandsgesuch an die Beschwerdekammer in Strafsachen des Obergerichts des Kantons Bern. Die Beschwerdekammer wies mit Beschluss vom 8. Oktober 2018 das Ausstandsgesuch ab. Sie führte zur Begründung zusammenfassend aus, die Zuständigkeit des abgelehnten Richters ergebe sich gemäss Art. 363 Abs. 1 StPO aus dem Umstand, dass er das erstinstanzliche Urteil gefällt habe. Aus diesem Urteil seien keine Hinweise ersichtlich, die den abgelehnten Richter im Hinblick auf das nachträgliche Verfahren nicht mehr als unvoreingenommen erscheinen liessen. Im weiteren erscheine das Misstrauen in die Unvoreingenommenheit auch nicht in objektiver Weise begründet.</w:t>
      </w:r>
    </w:p>
    <w:p>
      <w:r>
        <w:rPr>
          <w:b/>
        </w:rPr>
        <w:t>E. 2</w:t>
      </w:r>
    </w:p>
    <w:p>
      <w:r>
        <w:t>A.________ führt mit Eingabe vom 1. November 2018 (Postaufgabe 11. November 2018)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beanstandet, dass die Beschwerdekammer nur 10% seines Schreibens vom 7. September 2018 behandelt hätte. Die Beschwerdekammer führte hierzu im angefochtenen Beschluss aus, die vom Beschwerdeführer vorgebrachten Vorwürfe gegen weitere Personen sowie die Ausführungen zu anderen Verfahren seien nicht Gegenstand des Ausstandsverfahrens. Die Beschwerdekammer werde sich ausschliesslich zur geltend gemachten Befangenheit des Gerichtspräsidenten äussern. Inwiefern diese "Beschränkung" des Prozessstoffes auf die Frage der Befangenheit rechtswidrig sein sollte, vermag der Beschwerdeführer weder nachvollziehbar aufzuzeigen noch ist dies ersichtlich. Im Weiteren ergibt sich aus den weitschweifigen und nicht sachbezogenen Ausführungen nicht, dass die Beschwerdekammer Recht im Sinne von Art. 42 Abs. 2 BGG verletzt hätte, als sie das Ausstandsgesuch abwies. Der Beschwerdeführer legt nicht nachvollziehbar dar,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