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525/2017 vom 4. Mai 2018</w:t>
      </w:r>
    </w:p>
    <w:p>
      <w:r>
        <w:t>Bundesgericht, 2018-05-04, FR</w:t>
      </w:r>
    </w:p>
    <w:p>
      <w:r>
        <w:rPr>
          <w:b/>
        </w:rPr>
        <w:t xml:space="preserve">Quelle: </w:t>
      </w:r>
      <w:r>
        <w:t>https://mcp.opencaselaw.ch/entscheid/bger_1B_525_2017</w:t>
      </w:r>
    </w:p>
    <w:p>
      <w:r>
        <w:t>FR: TF 1B 525/2017 du 4 mai 2018</w:t>
      </w:r>
    </w:p>
    <w:p>
      <w:r>
        <w:t>IT: TF 1B 525/2017 del 4 maggio 2018</w:t>
      </w:r>
    </w:p>
    <w:p>
      <w:pPr>
        <w:pStyle w:val="Heading2"/>
      </w:pPr>
      <w:r>
        <w:t>Regeste</w:t>
      </w:r>
    </w:p>
    <w:p>
      <w:r>
        <w:t>Procédure pénale; levée partielle de scellés | Procédure pénale</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ATF 143 IV 462 consid. 1 p. 465).</w:t>
      </w:r>
    </w:p>
    <w:p>
      <w:r>
        <w:rPr>
          <w:b/>
        </w:rPr>
        <w:t>E. 1.2</w:t>
      </w:r>
    </w:p>
    <w:p>
      <w:r>
        <w:t>Le ministère public dispose en principe de la qualité pour recourir contre une décision maintenant partiellement ou intégralement des scellés (cf. art. 81 al. 1 let. a et b ch. 3 LTF; arrêts 1B_401/2017 du 6 mars 2018 consid. 1; 1B_297/2016 du 23 novembre 2016 consid. 1.1 et les arrêts cités).</w:t>
      </w:r>
    </w:p>
    <w:p>
      <w:r>
        <w:rPr>
          <w:b/>
        </w:rPr>
        <w:t>E. 1.3</w:t>
      </w:r>
    </w:p>
    <w:p>
      <w:r>
        <w:t>Ne mettant pas un terme à la procédure pénale, la décision attaquée est de nature incidente. Le recours en matière pénale contre une telle décision n'est dès lors recevable qu'aux conditions de l' art. 93 al. 1 let. a LTF , soit en présence d'un préjudice irréparable ( ATF 143 IV 462 consid. 1 p. 465).</w:t>
      </w:r>
    </w:p>
    <w:p>
      <w:r>
        <w:rPr>
          <w:b/>
        </w:rPr>
        <w:t>E. 1.3.1</w:t>
      </w:r>
    </w:p>
    <w:p>
      <w:r>
        <w:t>En matière d'administration des preuves, un tel préjudice doit être reconnu au ministère public lorsque, sans les moyens de preuve en cause, l'accusation risque d'être entravée au point de rendre impossible ou, à tout le moins, particulièrement difficile, la continuation de la procédure pénale. Tel n'est cependant pas le cas si le ministère public dispose d'autres mesures d'instruction pour continuer la procédure et, le cas échéant, rendre une ordonnance de mise en accusation. Il appartient dans tous les cas au ministère public d'alléguer et de démontrer la réalisation des conditions d'application de l' art. 93 al. 1 let. a LTF pour que son recours au Tribunal fédéral soit recevable ( ATF 141 IV 289 consid. 1.4 p. 292, 284 consid. 2.4 p. 287 s.). Il n'en va pas différemment en matière de levée des scellés (arrêts 1B_433/2017 du 21 mars 2018 consid. 1.8; 1B_401/2017 du 6 mars 2018 consid. 1; 1B_297/2016 du 23 novembre 2016 consid. 1.2; 1B_249/2015 du 30 mai 2016 consid. 2 non publié aux ATF 142 IV 207 ).</w:t>
      </w:r>
    </w:p>
    <w:p>
      <w:r>
        <w:rPr>
          <w:b/>
        </w:rPr>
        <w:t>E. 1.3.2</w:t>
      </w:r>
    </w:p>
    <w:p>
      <w:r>
        <w:t>En l'espèce, le Ministère public recourant soutient que les éléments de preuve que les pièces en cause pourraient contenir ne seront plus accessibles. Cette conséquence - indéniable en cas de maintien des scellés - peut ne pas satisfaire le recourant. Sans autre explication, cela ne suffit toutefois pas pour considérer que l'instruction pénale serait entravée dans une telle mesure qu'il n'aurait d'autre choix que de procéder au classement de la procédure; cela vaut d'autant plus que certaines données lui ont déjà été transmises et que le dossier pénal était constitué, au moment du dépôt du recours au Tribunal fédéral, de 126 classeurs (cf. le mémoire de recours p. 11). L'existence d'un préjudice irréparable paraît d'autant moins réalisée que les pièces écartées par le Tmc l'ont été en raison - non pas du secret professionnel de l'avocat qui ne saurait protéger les documents adressés aux intimés par des tiers agissant par un avocat ( ATF 143 IV 462 consid. 2.3 p. 468) - mais du défaut de pertinence pour la procédure des données placées sous scellés vu le caractère privé des échanges contenus sur le support n° 1 et le défaut de lien "en l'état" avec la procédure pénale de ceux figurant sur le support n° 2. Ce motif peut ne pas présenter un caractère nécessairement définitif, a contrario en particulier de la protection que confère le secret professionnel de l'avocat non prévenu dans la procédure en cours. Il ne paraît ainsi pas exclu que le Ministère public puisse, selon l'avancement de l'instruction et des éléments qui pourraient être mis en évidence, réitérer ultérieurement son ordre de production respectivement ensuite entamer une procédure de levée des scellés si leur apposition devait être requise. Une telle hypothèse semble d'autant plus possible qu'aucun risque de destruction ou d'altération des données n'est invoqué. Cela étant, vu l'issue du litige, cette question de recevabilité, également sous l'angle d'une motivation suffisante (cf. art. 42 al. 2 LTF ), peut rester indécise.</w:t>
      </w:r>
    </w:p>
    <w:p>
      <w:r>
        <w:rPr>
          <w:b/>
        </w:rPr>
        <w:t>E. 1.4</w:t>
      </w:r>
    </w:p>
    <w:p>
      <w:r>
        <w:t>En l'absence d'une argumentation répondant aux exigences en la matière - notamment afin de démontrer ce que les faits allégués omis par l'autorité précédente permettraient de retenir que la décision entreprise serait manifestement insoutenable et cela non seulement dans sa motivation, mais aussi dans son résultat ( ATF 143 IV 241 consid. 2.3.1 p. 244) -, il n'y a pas lieu de se distancer des faits retenus par l'autorité précédente ( art. 105 al. 1 LTF ).</w:t>
      </w:r>
    </w:p>
    <w:p>
      <w:r>
        <w:rPr>
          <w:b/>
        </w:rPr>
        <w:t>E. 2</w:t>
      </w:r>
    </w:p>
    <w:p>
      <w:r>
        <w:t>Dans un premier grief d'ordre formel, le recourant se prévaut de violations de ses droits de partie.</w:t>
      </w:r>
    </w:p>
    <w:p>
      <w:r>
        <w:rPr>
          <w:b/>
        </w:rPr>
        <w:t>E. 2.1</w:t>
      </w:r>
    </w:p>
    <w:p>
      <w:r>
        <w:t>Tout d'abord, il soutient que le Tmc l'aurait empêché de consulter le dossier de la procédure de levée des scellés. Ce grief peut cependant être écarté. En effet, si tout échange d'écritures n'est pas d'emblée exclu, l'absence de transmission d'une partie ou de l'intégralité des observations déposées par ceux ayant sollicité la mise sous scellés résulte toutefois de la nature particulière de cette procédure. Celle-ci tend à assurer - temporairement au moins - que le contenu des pièces placées sous scellés, respectivement en conséquence celui des observations y faisant référence, ne soit pas transmis aux autorités de poursuite pénale, dont fait partie le recourant (cf. art. 12 let. b CPP ; ATF 142 IV 372 consid. 3.2.1 p. 376). Ce dernier ne conteste d'ailleurs pas avoir eu connaissance notamment des déterminations de la banque intimée, soit la détentrice des données placées sous scellés. C'est le lieu également de rappeler qu'une participation d'un représentant du ministère public à la procédure de tri des pièces - coopération qui doit tendre avant tout à indiquer à l'autorité de tri des critères de recherche, notamment quant à la pertinence potentielle des pièces pour l'instruction - ne lui confère aucun droit de vérifier lui-même chaque document avant que l'autorité judiciaire ne se prononce. Une telle façon de procéder tendrait à contourner de manière inadmissible la protection voulue par la procédure de mise sous scellés. En tout état de cause, lorsque la pose de scellés a été requise, il n'appartient plus au ministère public d'examiner le bien-fondé des secrets et motifs invoqués par les requérants, constatation qui permet au demeurant de douter de la pertinence de la procédure de consultation effectuée par le recourant préalablement au dépôt de sa demande de levée des scellés. Pour ces mêmes motifs, les requêtes du recourant tendant à l'obtention du dossier du Tmc, ainsi qu'à la mise en oeuvre d'un tri au cours de la procédure fédérale peuvent être rejetées.</w:t>
      </w:r>
    </w:p>
    <w:p>
      <w:r>
        <w:rPr>
          <w:b/>
        </w:rPr>
        <w:t>E. 2.2</w:t>
      </w:r>
    </w:p>
    <w:p>
      <w:r>
        <w:t>Le recourant reproche encore à l'autorité précédente un défaut de motivation, soutenant en substance ignorer comment le Tmc aurait procédé pour écarter les pièces contenues sur les supports n° 1 et n° 2. Il ressort cependant de l'arrêt attaqué que les considérations de l'autorité précédente se fondent sur l'absence d'indication quant à des mots-clés permettant le tri de la part du Ministère public, sur les observations des autres parties et sur la consultation des pièces litigieuses; ces différents éléments lui ont permis de constater la nature privée des données figurant sur le support n° 1 et le défaut de lien avec la procédure P1 de celles contenues sur le support n° 2. Le recourant a d'ailleurs parfaitement compris ces motifs; ainsi, dans son mémoire au Tribunal fédéral, il a soutenu qu'un "contenu en apparence privé peut avoir un intérêt procédural" (cf. p. 10 de son mémoire) et a contesté en substance l'appréciation de l' "inutilité" des pièces figurant sur le support n° 2 (cf. son argumentation au fond "De la violation du critère de l'utilité potentielle" p. 5 s. de l'écriture susmentionnée). Partant, ce grief peut être écarté.</w:t>
      </w:r>
    </w:p>
    <w:p>
      <w:r>
        <w:rPr>
          <w:b/>
        </w:rPr>
        <w:t>E. 3</w:t>
      </w:r>
    </w:p>
    <w:p>
      <w:r>
        <w:t>Invoquant une violation de l' art. 248 CPP , le recourant reproche à l'autorité précédente d'avoir considéré que les pièces écartées seraient dénuées d'utilité pour la procédure en cours. Il soutient également que les intimés n'auraient pas respecté leurs obligations en matière de collaboration au tri.</w:t>
      </w:r>
    </w:p>
    <w:p>
      <w:r>
        <w:rPr>
          <w:b/>
        </w:rPr>
        <w:t>E. 3.1</w:t>
      </w:r>
    </w:p>
    <w:p>
      <w:r>
        <w:t>Saisi d'une demande de levée de scellés, le Tmc doit examiner, d'une part, s'il existe des soupçons suffisants de l'existence d'une infraction et, d'autre part, si les documents présentent apparemment une pertinence pour l'instruction en cours (cf. art. 197 al. 1 let. b et d CPP). Cette seconde question ne peut être résolue dans le détail, puisque le contenu même des documents mis sous scellés n'est pas encore connu. L'autorité de levée des scellés doit s'en tenir, à ce stade, au principe de l' "utilité potentielle" ( ATF 132 IV 63 consid. 4.4 p. 66 s.; arrêts 1B_63/2017 du 13 avril 2017 consid. 3.1; 1B_295/2016 du 10 novembre 2016 consid. 3.1; 1B_258/2016 du 29 septembre 2016 consid. 3 et les arrêts cités). Celle-ci doit être vérifiée par rapport à l'ensemble des éléments saisis. Lors de cet examen, l'autorité se fonde notamment sur la demande du ministère public, sur l'éventuelle liste de mots-clés que celui-ci a produite - qui constitue un indice d'éventuelle pertinence, ainsi qu'une information quant aux objectifs poursuivis par l'autorité pénale -, ainsi que sur les informations données par le détenteur des pièces placées sous scellés (arrêt 1B_63/2017 du 13 avril 2017 consid. 3.2). Tant le ministère public que le détenteur doivent fournir des explications circonstanciées sur l'éventuelle pertinence, respectivement le défaut d'utilité, des documents placés sous scellés ( ATF 141 IV 77 consid. 4.3 p. 81 et 5.6 p. 87; 138 IV 225 consid. 7.1 p. 229). Cela étant, les obligations en matière de motivation du détenteur sont d'autant plus importantes que le ministère public n'a pas accès au contenu des pièces (arrêt 1B_63/2017 du 13 avril 2017 consid. 3.2); cela vaut en particulier lorsque les documents ou données dont la mise sous scellés a été requise sont très nombreux ou très complexes ( ATF 141 IV 77 consid. 4.3 p. 81 et 5.6 p. 87; 138 IV 225 consid. 7.1 p. 229 et les arrêts cités).</w:t>
      </w:r>
    </w:p>
    <w:p>
      <w:r>
        <w:rPr>
          <w:b/>
        </w:rPr>
        <w:t>E. 3.2</w:t>
      </w:r>
    </w:p>
    <w:p>
      <w:r>
        <w:t>En l'occurrence, le recourant soutient en substance que l'intégralité des données figurant sur les supports n° 1 et n° 2 serait pertinente pour l'instruction en cours; cela découlerait en particulier du fait que les éléments en cause proviendraient de la boîte de courriers électroniques professionnelle d'un "maillon essentiel" de l'activité criminelle investiguée. Certes, l'utilisation d'une messagerie professionnelle par un prévenu à qui l'on reproche la commission d'infractions dans le cadre de son travail constitue un lien permettant la saisie de ces données et, le cas échéant, la levée des scellés qui auraient été apposés sur celles-ci. Toutefois, lorsqu'une importante partie des éléments en cause a déjà été transmise à l'autorité d'instruction, ce seul lien ne suffit plus pour obtenir l'accès au solde des éléments saisis et placés sous scellés. Dans le cadre de son devoir de collaboration - qui ne naît pas uniquement en cas d'interpellation formelle -, il appartient au Ministère public d'expliquer pourquoi les pièces encore sous scellés seraient pertinentes, notamment celles relevant a priori de la sphère privée. Pour ce faire, il peut indiquer des mots-clés et/ou des critères spécifiques en lien avec l'instruction en cours afin que l'autorité judiciaire saisie - soit le Tmc et non les autorités d'instruction pénale ( ATF 142 IV 372 consid. 3.1 p. 374 s.) - puisse procéder au tri des éléments sous scellés. Or, le recourant ne soutient pas avoir déposé de telles indications au cours de la procédure d'instruction; en particulier, tel n'a été le cas ni dans la demande de levée des scellés, ni après avoir eu connaissance - certes peut-être dans une mesure limitée - de l'intention des intimés d'obtenir le maintien des scellés. Le recourant ne paraît pas non plus avoir demandé aux intimés de procéder à des recherches complémentaires sur la base de ses propres critères. Faute d'information - ce malgré de plus les nombreux échanges d'écritures intervenus au cours de l'instruction devant le Tmc - et vu la conclusion tendant à la levée des scellés sans procéder au moindre tri, on ne saurait reprocher à l'autorité précédente d'avoir fondé son appréciation sur les observations déposées par les intimés. Cela vaut d'autant plus que le Tmc ne s'est pas limité à celles-ci, mais a également consulté les pièces en cause. En l'état, la démarche tendant à la levée intégrale des scellés sans qu'il soit procéder à un tri paraît procéder de la recherche indéterminée de preuves, ce qui n'est pas admissible, notamment sous l'angle du principe de proportionnalité. Partant, le Tmc n'a pas violé le droit fédéral en considérant que les pièces figurant sur les supports n° 1 et n° 2 n'étaient pas pertinentes pour l'instruction en cours et ce grief peut être écarté.</w:t>
      </w:r>
    </w:p>
    <w:p>
      <w:r>
        <w:rPr>
          <w:b/>
        </w:rPr>
        <w:t>E. 4</w:t>
      </w:r>
    </w:p>
    <w:p>
      <w:r>
        <w:t>Il s'ensuit que le recours est rejeté dans la mesure où il est recevable. Il n'y a pas lieu de percevoir de frais judiciaires ( art. 66 al. 4 LTF ). Les intimés, qui obtiennent gain de cause avec l'assistance d'un avocat, ont chacun droit à des dépens à la charge de la République et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