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1B_525/2011 vom 13. Oktober 2011</w:t>
      </w:r>
    </w:p>
    <w:p>
      <w:r>
        <w:t>Bundesgericht, 2011-10-13, FR</w:t>
      </w:r>
    </w:p>
    <w:p>
      <w:r>
        <w:rPr>
          <w:b/>
        </w:rPr>
        <w:t xml:space="preserve">Quelle: </w:t>
      </w:r>
      <w:r>
        <w:t>https://mcp.opencaselaw.ch/entscheid/bger_1B_525_2011</w:t>
      </w:r>
    </w:p>
    <w:p>
      <w:r>
        <w:t>FR: TF 1B_525/2011 du 13 octobre 2011</w:t>
      </w:r>
    </w:p>
    <w:p>
      <w:r>
        <w:t>IT: TF 1B_525/2011 del 13 ottobre 2011</w:t>
      </w:r>
    </w:p>
    <w:p>
      <w:pPr>
        <w:pStyle w:val="Heading2"/>
      </w:pPr>
      <w:r>
        <w:t>Erwägungen</w:t>
      </w:r>
    </w:p>
    <w:p>
      <w:r>
        <w:rPr>
          <w:b/>
        </w:rPr>
        <w:t>E. 1</w:t>
      </w:r>
    </w:p>
    <w:p>
      <w:r>
        <w:t>Selon l' art. 78 LTF , le recours en matière pénale est ouvert contre les décisions rendues en matière pénale, notamment les décisions relatives à la détention provisoire ou pour des motifs de sûreté au sens des art. 212 ss CPP .</w:t>
      </w:r>
    </w:p>
    <w:p>
      <w:r>
        <w:t>Selon l'art. 81 al. 1 let. a et let. b ch. 1 LTF, l'accusé a qualité pour agir. Le recours est formé en temps utile ( art. 100 al. 1 LTF ) contre une décision rendue en dernière instance cantonale ( art. 80 LTF ) et les conclusions présentées sont recevables au regard de l' art. 107 al. 2 LTF .</w:t>
      </w:r>
    </w:p>
    <w:p>
      <w:r>
        <w:rPr>
          <w:b/>
        </w:rPr>
        <w:t>E. 2</w:t>
      </w:r>
    </w:p>
    <w:p>
      <w:r>
        <w:t>Le recourant conteste la possibilité pour le Ministère public de requérir la prolongation de la détention en cas de condamnation, l' art. 231 al. 2 CPP ne visant que le cas de l'acquittement. S'agissant d'une disposition portant atteinte aux droits fondamentaux du prévenu, elle devrait recevoir une interprétation restrictive. Le risque de fuite ne serait pas comparable en cas d'acquittement ou de condamnation. Par ailleurs, admettre, comme le préconise la doctrine, une demande de maintien en détention lorsque la condamnation s'écarte sensiblement des réquisitions, susciterait des incertitudes et permettrait de nombreux abus.</w:t>
      </w:r>
    </w:p>
    <w:p>
      <w:r>
        <w:rPr>
          <w:b/>
        </w:rPr>
        <w:t>E. 2.1</w:t>
      </w:r>
    </w:p>
    <w:p>
      <w:r>
        <w:t>Selon l' art. 231 al. 2 CPP ,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En pareil cas, la personne concernée demeure en détention jusqu'à ce que la direction de la procédure de la juridiction d'appel ait statué. Celle-ci statue sur la demande du ministère public dans les cinq jours à compter du dépôt de la demande.</w:t>
      </w:r>
    </w:p>
    <w:p>
      <w:r>
        <w:rPr>
          <w:b/>
        </w:rPr>
        <w:t>E. 2.2</w:t>
      </w:r>
    </w:p>
    <w:p>
      <w:r>
        <w:t>Même si le législateur n'a prévu que le cas, le plus évident, de l'acquittement, rien n'indique qu'il ait voulu exclure une demande de maintien en détention dans les autres cas où les réquisitions du ministère public ne sont pas - ou pas entièrement - suivies et où le prévenu est remis en liberté (SCHMID, Schweizerische Strafprozessordnung, Zurich 2009, n° 9 ad art. 231; DONATSCH/HANSJAKOB/LIEBER, Kommentar StPO, n° 12-13 ad art. 231, sont plus nuancés et évoquent seulement le cas de l'acquittement partiel). Avant d'être scindée en deux pour des motifs rédactionnels, la disposition pertinente de l'avant-projet de CPP (art. 245) accordait à l'accusation le droit de demander le maintien de la détention pour des motifs de sûreté tant en cas de condamnation que d'acquittement. Le silence de la loi sur ce point procède donc d'une inadvertance du législateur (cf. LOGOS, Commentaire romand, n° 13 ad art. 231; cf. aussi FORSTER, Basler Kommentar StPO, qui préconise une application analogique de l'art. 231 al. 2 aux cas de mise en liberté après une déclaration de culpabilité - note 31 ad art. 231).</w:t>
      </w:r>
    </w:p>
    <w:p>
      <w:r>
        <w:t>Le recourant évoque les risques d'abus qui pourraient résulter d'une application extensive de l' art. 231 al. 2 CPP . Toutefois, les conditions de fond à un maintien en détention pour des motifs de sûreté, selon l' art. 221 CPP - en particulier l'existence de charges suffisantes et le risque de fuite ou de réitération - doivent être réunies dans ce cas également. L'autorité doit aussi veiller au respect du principe de la proportionnalité, selon les principes rappelés ci-dessous, et s'interroger sur la possibilité d'ordonner des mesures de substitution ( art. 237 ss CPP ). Contrairement à ce que soutient le recourant, le risque de fuite n'est pas plus faible lorsque le prévenu a été remis en liberté par l'autorité de première instance en raison d'un acquittement, que lorsque la libération intervient pour d'autres motifs. Le maintien en détention repose dès lors sur une base légale suffisante.</w:t>
      </w:r>
    </w:p>
    <w:p>
      <w:r>
        <w:rPr>
          <w:b/>
        </w:rPr>
        <w:t>E. 3</w:t>
      </w:r>
    </w:p>
    <w:p>
      <w:r>
        <w:t>Invoquant les art. 10 al. 2 Cst. et 5 CEDH, le recourant tient sa détention pour disproportionnée. Selon lui, il y aurait lieu de tenir compte de la peine prononcée et du sursis accordé en première instance. En l'occurrence, le recourant a été condamné à trois ans de privation de liberté, dont la moitié avec sursis, alors qu'il a déjà passé plus de 18 mois en détention provisoire. En dépit de l'appel formé par le Ministère public, rien ne permettrait de considérer que le jugement de première instance serait manifestement erroné s'agissant de la quotité de la peine et de la question du repentir actif, compte tenu de l'attitude du prévenu durant l'instruction, des excuses formulées à l'égard des victimes et des versements opérés personnellement afin de les indemniser.</w:t>
      </w:r>
    </w:p>
    <w:p>
      <w:r>
        <w:rPr>
          <w:b/>
        </w:rPr>
        <w:t>E. 3.1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132 I 21 consid. 4.1 p. 27; 107 Ia 256 consid. 2 et 3 p. 257 ss et les références). Il convient d'accorder une attention particulière à cette limite, car le juge de l'action pénale pourrait être enclin à prendre en considération dans la fixation de la peine la durée de la détention préventive à imputer selon l' art. 51 CP ( ATF 133 I 168 consid. 4.1 p. 170 et les arrêts cités). Selon une jurisprudence constante, la possibilité d'un sursis, voire d'un sursis partiel, n'a en principe pas à être prise en considération dans l'examen de la proportionnalité de la détention préventive ( ATF 133 I 270 consid. 3.4.2 p. 281-282; 125 I 60 ). Lorsque le détenu a déjà été jugé en première instance, ce prononcé constitue un indice important s'agissant de la peine susceptible de devoir être finalement exécutée.</w:t>
      </w:r>
    </w:p>
    <w:p>
      <w:r>
        <w:rPr>
          <w:b/>
        </w:rPr>
        <w:t>E. 3.2</w:t>
      </w:r>
    </w:p>
    <w:p>
      <w:r>
        <w:t>En l'occurrence, le recourant a été condamné à trois ans de privation de liberté. Il a obtenu une forte réduction de peine en raison de la circonstance atténuante du repentir sincère. Si cette dernière devait finalement être niée en appel, la peine du recourant pourrait alors s'approcher de celle qui a été prononcée le 15 octobre 2009 contre son complice, soit cinq ans de privation de liberté. Même s'il n'a en principe pas à examiner en détail le bien-fondé de la condamnation et la quotité de la peine prononcée en première instance, le juge de la détention ne pouvait faire abstraction de l'existence d'un appel du Ministère public tendant à une aggravation de la peine. Il devait dès lors examiner prima facie les chances de succès d'une telle démarche. A ce sujet, il a relevé que les aveux du recourant n'avaient été ni spontanés, ni complets, et que le recourant paraissait s'être d'abord interrogé sur le bénéfice à retirer de sa collaboration. Par ailleurs, les montants versés aux victimes ne représentaient pas des sacrifices particulièrement méritoires. Sous l'angle de la vraisemblance, ces considérations ne prêtent pas le flanc à la critique et permettent d'envisager le prononcé d'une peine privative de liberté supérieure à trois ans, ce qui exclurait l'octroi du sursis partiel ( art. 43 al. 1 CP ). Le principe de la proportionnalité n'est dès lors pas violé.</w:t>
      </w:r>
    </w:p>
    <w:p>
      <w:r>
        <w:rPr>
          <w:b/>
        </w:rPr>
        <w:t>E. 3.3</w:t>
      </w:r>
    </w:p>
    <w:p>
      <w:r>
        <w:t>Le recourant conteste également en vain l'existence d'un risque de fuite. Faisant partie des gens du voyage, sans aucune attache avec la Suisse, il se trouve exposé, en cas d'admission de l'appel du Ministère public, à devoir encore purger une peine ferme d'une certaine durée. Le fait qu'un jugement de première instance soit intervenu ne saurait, dans ces circonstances, impliquer une diminution du risque de fuite. Le recourant propose le versement d'une caution de 10'000 fr., qui serait fournie par ses proches. La cour cantonale relève, à propos du montant de 5'000 fr. offert par un co-accusé, que cette somme est quatre fois inférieur à celle qui était proposée à l'appui de la demande de mise en liberté ayant fait l'objet de l'arrêt du Tribunal fédéral. Ce dernier a en effet confirmé qu'une caution de 20'000 fr. apparaissait totalement insuffisante pour pallier le risque de fuite (arrêt 1B_73/2011 du 14 mars 2011, consid. 4.2). Dès lors que ce dernier n'a pas diminué, compte tenu de l'état de la procédure, ces considérations conservent leur pertinence et conduisent au rejet du grief.</w:t>
      </w:r>
    </w:p>
    <w:p>
      <w:r>
        <w:rPr>
          <w:b/>
        </w:rPr>
        <w:t>E. 4</w:t>
      </w:r>
    </w:p>
    <w:p>
      <w:r>
        <w:t>Le recours doit par conséquent être rejeté. Le recourant a demandé l'assistance judiciaire, et les conditions en paraissent réunies. Il y a lieu de désigner Me Yaël Hayat comme avocate d'office du recourant,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