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1B_520/2018 vom 28. Dezember 2018</w:t>
      </w:r>
    </w:p>
    <w:p>
      <w:r>
        <w:t>Bundesgericht, 2018-12-28, DE</w:t>
      </w:r>
    </w:p>
    <w:p>
      <w:r>
        <w:rPr>
          <w:b/>
        </w:rPr>
        <w:t xml:space="preserve">Quelle: </w:t>
      </w:r>
      <w:r>
        <w:t>https://mcp.opencaselaw.ch/entscheid/bger_1B_520_2018</w:t>
      </w:r>
    </w:p>
    <w:p>
      <w:r>
        <w:t>FR: TF 1B_520/2018 du 28 décembre 2018</w:t>
      </w:r>
    </w:p>
    <w:p>
      <w:r>
        <w:t>IT: TF 1B_520/2018 del 28 dicembre 2018</w:t>
      </w:r>
    </w:p>
    <w:p>
      <w:pPr>
        <w:pStyle w:val="Heading2"/>
      </w:pPr>
      <w:r>
        <w:t>Erwägungen</w:t>
      </w:r>
    </w:p>
    <w:p>
      <w:r>
        <w:rPr>
          <w:b/>
        </w:rPr>
        <w:t>E. 1</w:t>
      </w:r>
    </w:p>
    <w:p>
      <w:r>
        <w:t>Die Staatsanwaltschaft Bern-Mittelland führt gegen A.________ eine Strafuntersuchung wegen Diebstahls etc. Am 2. November 2018 ordnete das Kantonale Zwangsmassnahmengericht für die Dauer von drei Monaten Untersuchungshaft gegen ihn an. Am 3. Dezember 2018 hiess das Obergericht des Kantons Bern die Haftbeschwerde von A.________ teilweise gut und stellte fest, dass sein Anspruch auf rechtliches Gehör verletzt worden sei. Im Übrigen wies es die Beschwerde ab.</w:t>
      </w:r>
    </w:p>
    <w:p>
      <w:r>
        <w:t>Mit einer am 27. Dezember 2018 beim Bundesgericht eingegangen Beschwerde ficht A.________ diesen obergerichtlichen Entscheid an. Mit einer tags darauf beim Bundesgericht eingegangenen Beschwerdeergänzung ersucht A.________, ihm die Beschwerdefrist zu erstrecken, da ihn sein Anwalt verspätet über den Haftentscheid des Obergerichts informiert habe. Vernehmlassungen wurden keine eingeholt.</w:t>
      </w:r>
    </w:p>
    <w:p>
      <w:r>
        <w:rPr>
          <w:b/>
        </w:rPr>
        <w:t>E. 2</w:t>
      </w:r>
    </w:p>
    <w:p>
      <w:r>
        <w:t>Angefochten ist ein kantonal letztinstanzlicher Entscheid in einer Strafsache.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teilt mit, dass er den angefochtenen Entscheid von seinem Anwalt erst nach 16 Tagen erhalten habe und bittet das Bundesgericht um Hilfe. Gesetzliche Rechtsmittelfristen können indessen nicht erstreckt werden ( Art. 47 Abs. 1 BGG ), und der Beschwerdeführer legt unter Verletzung der gesetzlichen Begründungspflicht nicht dar, inwiefern der angefochtene Entscheid rechts- bzw. verfassungswidrig sein soll. Das ist auch nicht ersichtlich. Auf die Beschwerde ist, weil der Begründungsmangel offensichtlich ist, im vereinfachten Verfahren nicht einzutreten. Auf die Erhebung von Kosten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